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6" w:rsidRDefault="001E4444" w:rsidP="00FB20A6">
      <w:pPr>
        <w:ind w:left="-7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-2505710</wp:posOffset>
                </wp:positionH>
                <wp:positionV relativeFrom="paragraph">
                  <wp:posOffset>1355725</wp:posOffset>
                </wp:positionV>
                <wp:extent cx="264795" cy="4146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1B8" w:rsidRDefault="00EB71B8" w:rsidP="00FB20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7.3pt;margin-top:106.7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" filled="f" stroked="f">
                <v:path arrowok="t"/>
                <v:textbox style="mso-fit-shape-to-text:t">
                  <w:txbxContent>
                    <w:p w:rsidR="00EB71B8" w:rsidRDefault="00EB71B8" w:rsidP="00FB20A6"/>
                  </w:txbxContent>
                </v:textbox>
              </v:shape>
            </w:pict>
          </mc:Fallback>
        </mc:AlternateContent>
      </w:r>
    </w:p>
    <w:p w:rsidR="009322F6" w:rsidRDefault="00DE1EF1" w:rsidP="009322F6">
      <w:pPr>
        <w:ind w:left="7080" w:firstLine="708"/>
        <w:rPr>
          <w:b/>
        </w:rPr>
      </w:pPr>
      <w:r w:rsidRPr="00DE1EF1">
        <w:rPr>
          <w:u w:val="single"/>
        </w:rPr>
        <w:t xml:space="preserve">Draft </w:t>
      </w:r>
    </w:p>
    <w:p w:rsidR="00845DAC" w:rsidRPr="00FE232F" w:rsidRDefault="00845DAC" w:rsidP="00845DAC">
      <w:pPr>
        <w:pStyle w:val="Quote"/>
        <w:pBdr>
          <w:top w:val="single" w:sz="48" w:space="8" w:color="4F81BD" w:themeColor="accent1"/>
          <w:bottom w:val="single" w:sz="48" w:space="9" w:color="4F81BD" w:themeColor="accent1"/>
        </w:pBdr>
        <w:spacing w:line="300" w:lineRule="auto"/>
        <w:rPr>
          <w:b/>
          <w:noProof/>
          <w:color w:val="F79646" w:themeColor="accent6"/>
          <w:sz w:val="56"/>
          <w:szCs w:val="56"/>
          <w:lang w:val="sq-AL"/>
        </w:rPr>
      </w:pPr>
      <w:r w:rsidRPr="00FE232F">
        <w:rPr>
          <w:b/>
          <w:noProof/>
          <w:color w:val="F79646" w:themeColor="accent6"/>
          <w:sz w:val="56"/>
          <w:szCs w:val="56"/>
          <w:lang w:val="sq-AL"/>
        </w:rPr>
        <w:t xml:space="preserve">PERC 2015 – 2019 </w:t>
      </w:r>
    </w:p>
    <w:p w:rsidR="00845DAC" w:rsidRPr="00FE232F" w:rsidRDefault="00FE232F" w:rsidP="00845DAC">
      <w:pPr>
        <w:pStyle w:val="Quote"/>
        <w:pBdr>
          <w:top w:val="single" w:sz="48" w:space="8" w:color="4F81BD" w:themeColor="accent1"/>
          <w:bottom w:val="single" w:sz="48" w:space="9" w:color="4F81BD" w:themeColor="accent1"/>
        </w:pBdr>
        <w:spacing w:line="300" w:lineRule="auto"/>
        <w:rPr>
          <w:b/>
          <w:noProof/>
          <w:color w:val="auto"/>
          <w:spacing w:val="10"/>
          <w:sz w:val="48"/>
          <w:szCs w:val="48"/>
          <w:lang w:val="sq-AL"/>
        </w:rPr>
      </w:pPr>
      <w:r>
        <w:rPr>
          <w:b/>
          <w:noProof/>
          <w:color w:val="auto"/>
          <w:spacing w:val="10"/>
          <w:sz w:val="48"/>
          <w:szCs w:val="48"/>
          <w:lang w:val="sq-AL"/>
        </w:rPr>
        <w:t xml:space="preserve">Orientimi i politikave dhe profili operacional  </w:t>
      </w:r>
    </w:p>
    <w:p w:rsidR="009322F6" w:rsidRPr="00FE232F" w:rsidRDefault="009322F6" w:rsidP="009322F6">
      <w:pPr>
        <w:jc w:val="both"/>
        <w:rPr>
          <w:b/>
          <w:noProof/>
          <w:lang w:val="sq-AL"/>
        </w:rPr>
      </w:pPr>
    </w:p>
    <w:p w:rsidR="006F1091" w:rsidRPr="00FE232F" w:rsidRDefault="00FE232F" w:rsidP="008F6EE5">
      <w:pPr>
        <w:pStyle w:val="ListParagraph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Europa n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udh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kryq</w:t>
      </w:r>
    </w:p>
    <w:p w:rsidR="006F1091" w:rsidRPr="00FE232F" w:rsidRDefault="006F1091" w:rsidP="008F6EE5">
      <w:pPr>
        <w:pStyle w:val="ListParagraph"/>
        <w:jc w:val="both"/>
        <w:rPr>
          <w:noProof/>
          <w:lang w:val="sq-AL"/>
        </w:rPr>
      </w:pPr>
    </w:p>
    <w:p w:rsidR="00FE232F" w:rsidRDefault="00FF2EA4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PERC-u</w:t>
      </w:r>
      <w:r w:rsidR="00FE232F">
        <w:rPr>
          <w:noProof/>
          <w:lang w:val="sq-AL"/>
        </w:rPr>
        <w:t xml:space="preserve"> (K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shilli</w:t>
      </w:r>
      <w:r w:rsidR="00FE232F">
        <w:rPr>
          <w:noProof/>
          <w:lang w:val="sq-AL"/>
        </w:rPr>
        <w:t xml:space="preserve"> Rajonal Paneuropian) u krijua </w:t>
      </w:r>
      <w:r w:rsidR="002A2D9A">
        <w:rPr>
          <w:noProof/>
          <w:lang w:val="sq-AL"/>
        </w:rPr>
        <w:t>si 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rgjigje ndaj interasave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reja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ta an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hap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sir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s europiane, kryesisht 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rgjat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boshtit Lindje-Per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ndim 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kontekstin e shum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llojshm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tipave dhe niveleve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EB71B8">
        <w:rPr>
          <w:noProof/>
          <w:lang w:val="sq-AL"/>
        </w:rPr>
        <w:t>zhvillimit te ekonomive, sistem</w:t>
      </w:r>
      <w:r w:rsidR="002A2D9A">
        <w:rPr>
          <w:noProof/>
          <w:lang w:val="sq-AL"/>
        </w:rPr>
        <w:t>eve shoq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rore e politike. Kriza dhe ve</w:t>
      </w:r>
      <w:r w:rsidR="00EA5891">
        <w:rPr>
          <w:noProof/>
          <w:lang w:val="sq-AL"/>
        </w:rPr>
        <w:t>ç</w:t>
      </w:r>
      <w:r w:rsidR="002A2D9A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risht qasja “e masave shtr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ngu</w:t>
      </w:r>
      <w:r>
        <w:rPr>
          <w:noProof/>
          <w:lang w:val="sq-AL"/>
        </w:rPr>
        <w:t>e</w:t>
      </w:r>
      <w:r w:rsidR="002A2D9A">
        <w:rPr>
          <w:noProof/>
          <w:lang w:val="sq-AL"/>
        </w:rPr>
        <w:t xml:space="preserve">se”, e cila 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politika dominuese e zgjedhur nga elitat europiane 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 t’u b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ball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sfidave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kriz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s, shkaktoi divergjenca dhe rryma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forta an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rajonit,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cilat aktualisht po konsolidohen dhe institucionalizohen p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rmes projekteve dhe n</w:t>
      </w:r>
      <w:r w:rsidR="00310BBD">
        <w:rPr>
          <w:noProof/>
          <w:lang w:val="sq-AL"/>
        </w:rPr>
        <w:t>ismave t</w:t>
      </w:r>
      <w:r w:rsidR="00EA5891">
        <w:rPr>
          <w:noProof/>
          <w:lang w:val="sq-AL"/>
        </w:rPr>
        <w:t>ë</w:t>
      </w:r>
      <w:r w:rsidR="00310BBD"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 w:rsidR="00310BBD">
        <w:rPr>
          <w:noProof/>
          <w:lang w:val="sq-AL"/>
        </w:rPr>
        <w:t>anta n</w:t>
      </w:r>
      <w:r w:rsidR="00EA5891">
        <w:rPr>
          <w:noProof/>
          <w:lang w:val="sq-AL"/>
        </w:rPr>
        <w:t>ë</w:t>
      </w:r>
      <w:r w:rsidR="00310BBD">
        <w:rPr>
          <w:noProof/>
          <w:lang w:val="sq-AL"/>
        </w:rPr>
        <w:t xml:space="preserve"> nivel n</w:t>
      </w:r>
      <w:r w:rsidR="00EA5891">
        <w:rPr>
          <w:noProof/>
          <w:lang w:val="sq-AL"/>
        </w:rPr>
        <w:t>ë</w:t>
      </w:r>
      <w:r w:rsidR="00310BBD">
        <w:rPr>
          <w:noProof/>
          <w:lang w:val="sq-AL"/>
        </w:rPr>
        <w:t>n</w:t>
      </w:r>
      <w:r w:rsidR="002A2D9A">
        <w:rPr>
          <w:noProof/>
          <w:lang w:val="sq-AL"/>
        </w:rPr>
        <w:t>rajonal dhe n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kontekste t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 xml:space="preserve"> tjera shum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pal</w:t>
      </w:r>
      <w:r w:rsidR="00EA5891">
        <w:rPr>
          <w:noProof/>
          <w:lang w:val="sq-AL"/>
        </w:rPr>
        <w:t>ë</w:t>
      </w:r>
      <w:r w:rsidR="002A2D9A">
        <w:rPr>
          <w:noProof/>
          <w:lang w:val="sq-AL"/>
        </w:rPr>
        <w:t>she.</w:t>
      </w:r>
    </w:p>
    <w:p w:rsidR="00197DA4" w:rsidRDefault="00310BBD" w:rsidP="00060AA0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Po lindin dy projekte kryesore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rbejn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 qendrat kryesore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dinamik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>s, t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 xml:space="preserve"> cila</w:t>
      </w:r>
      <w:r w:rsidR="00FF2EA4">
        <w:rPr>
          <w:noProof/>
          <w:lang w:val="sq-AL"/>
        </w:rPr>
        <w:t>t</w:t>
      </w:r>
      <w:r>
        <w:rPr>
          <w:noProof/>
          <w:lang w:val="sq-AL"/>
        </w:rPr>
        <w:t xml:space="preserve">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>s</w:t>
      </w:r>
      <w:r>
        <w:rPr>
          <w:noProof/>
          <w:lang w:val="sq-AL"/>
        </w:rPr>
        <w:t>oj</w:t>
      </w:r>
      <w:r w:rsidR="00FF2EA4"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zhvillimet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viteve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ardhshme: faza e ardhshme e procesit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integrimit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BE dhe Unioni Ekonomik Euroaziatik (UEE). BE</w:t>
      </w:r>
      <w:r w:rsidR="00BB1DBA">
        <w:rPr>
          <w:noProof/>
          <w:lang w:val="sq-AL"/>
        </w:rPr>
        <w:t>-ja</w:t>
      </w:r>
      <w:r w:rsidR="00FF2EA4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angazhuar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program ambicioz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thellimin e procesit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integrimit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rmes 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FF2EA4">
        <w:rPr>
          <w:noProof/>
          <w:lang w:val="sq-AL"/>
        </w:rPr>
        <w:t>bashkimi</w:t>
      </w:r>
      <w:r>
        <w:rPr>
          <w:noProof/>
          <w:lang w:val="sq-AL"/>
        </w:rPr>
        <w:t xml:space="preserve"> bankar, </w:t>
      </w:r>
      <w:r w:rsidR="00FF2EA4">
        <w:rPr>
          <w:noProof/>
          <w:lang w:val="sq-AL"/>
        </w:rPr>
        <w:t>bashkimi</w:t>
      </w:r>
      <w:r>
        <w:rPr>
          <w:noProof/>
          <w:lang w:val="sq-AL"/>
        </w:rPr>
        <w:t xml:space="preserve"> financiar dhe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fundi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FF2EA4">
        <w:rPr>
          <w:noProof/>
          <w:lang w:val="sq-AL"/>
        </w:rPr>
        <w:t>bashkimi</w:t>
      </w:r>
      <w:r>
        <w:rPr>
          <w:noProof/>
          <w:lang w:val="sq-AL"/>
        </w:rPr>
        <w:t xml:space="preserve"> politik duke nisur me Eurozon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ku shtetet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vizin me shpejt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 dhe konf</w:t>
      </w:r>
      <w:r w:rsidR="00F604C8">
        <w:rPr>
          <w:noProof/>
          <w:lang w:val="sq-AL"/>
        </w:rPr>
        <w:t>igurime t</w:t>
      </w:r>
      <w:r w:rsidR="00EA5891">
        <w:rPr>
          <w:noProof/>
          <w:lang w:val="sq-AL"/>
        </w:rPr>
        <w:t>ë</w:t>
      </w:r>
      <w:r w:rsidR="00F604C8">
        <w:rPr>
          <w:noProof/>
          <w:lang w:val="sq-AL"/>
        </w:rPr>
        <w:t xml:space="preserve"> ndrysh</w:t>
      </w:r>
      <w:r>
        <w:rPr>
          <w:noProof/>
          <w:lang w:val="sq-AL"/>
        </w:rPr>
        <w:t>me</w:t>
      </w:r>
      <w:r w:rsidR="000B2729" w:rsidRPr="00FE232F">
        <w:rPr>
          <w:rStyle w:val="FootnoteReference"/>
          <w:noProof/>
          <w:lang w:val="sq-AL"/>
        </w:rPr>
        <w:footnoteReference w:id="1"/>
      </w:r>
      <w:r w:rsidR="001A13A4" w:rsidRPr="00F604C8">
        <w:rPr>
          <w:noProof/>
          <w:lang w:val="sq-AL"/>
        </w:rPr>
        <w:t>.</w:t>
      </w:r>
      <w:r w:rsidR="00FF2EA4">
        <w:rPr>
          <w:noProof/>
          <w:lang w:val="sq-AL"/>
        </w:rPr>
        <w:t xml:space="preserve"> </w:t>
      </w:r>
      <w:r w:rsidR="00555927">
        <w:rPr>
          <w:noProof/>
          <w:lang w:val="sq-AL"/>
        </w:rPr>
        <w:t>Sidoqoft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, procesi ka nevoj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ngulitet n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ato shoq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ri ku legjitimiteti dhe besimi </w:t>
      </w:r>
      <w:r w:rsidR="00FF2EA4">
        <w:rPr>
          <w:noProof/>
          <w:lang w:val="sq-AL"/>
        </w:rPr>
        <w:t>te</w:t>
      </w:r>
      <w:r w:rsidR="00555927">
        <w:rPr>
          <w:noProof/>
          <w:lang w:val="sq-AL"/>
        </w:rPr>
        <w:t xml:space="preserve"> BE</w:t>
      </w:r>
      <w:r w:rsidR="00FF2EA4">
        <w:rPr>
          <w:noProof/>
          <w:lang w:val="sq-AL"/>
        </w:rPr>
        <w:t>-ja</w:t>
      </w:r>
      <w:r w:rsidR="00555927"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arritur nivele t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ul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ta historike, ve</w:t>
      </w:r>
      <w:r w:rsidR="00EA5891">
        <w:rPr>
          <w:noProof/>
          <w:lang w:val="sq-AL"/>
        </w:rPr>
        <w:t>ç</w:t>
      </w:r>
      <w:r w:rsidR="00555927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risht tek masat pun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tore. S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dyti, po lind nj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qend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r e re r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ndese n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 xml:space="preserve"> Lindje p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rmes nd</w:t>
      </w:r>
      <w:r w:rsidR="00EA5891">
        <w:rPr>
          <w:noProof/>
          <w:lang w:val="sq-AL"/>
        </w:rPr>
        <w:t>ë</w:t>
      </w:r>
      <w:r w:rsidR="00555927">
        <w:rPr>
          <w:noProof/>
          <w:lang w:val="sq-AL"/>
        </w:rPr>
        <w:t>rveprimit me Unionin Ekonomik Euroaziatik (UEE), BRICS</w:t>
      </w:r>
      <w:r w:rsidR="000061D9">
        <w:rPr>
          <w:noProof/>
          <w:lang w:val="sq-AL"/>
        </w:rPr>
        <w:t xml:space="preserve"> (</w:t>
      </w:r>
      <w:r w:rsidR="000061D9" w:rsidRPr="000061D9">
        <w:rPr>
          <w:i/>
          <w:noProof/>
          <w:lang w:val="sq-AL"/>
        </w:rPr>
        <w:t>Brazil, Rusi, Indi, Kin</w:t>
      </w:r>
      <w:r w:rsidR="00EA5891">
        <w:rPr>
          <w:i/>
          <w:noProof/>
          <w:lang w:val="sq-AL"/>
        </w:rPr>
        <w:t>ë</w:t>
      </w:r>
      <w:r w:rsidR="000061D9">
        <w:rPr>
          <w:noProof/>
          <w:lang w:val="sq-AL"/>
        </w:rPr>
        <w:t>)</w:t>
      </w:r>
      <w:r w:rsidR="00060AA0">
        <w:rPr>
          <w:noProof/>
          <w:lang w:val="sq-AL"/>
        </w:rPr>
        <w:t>, Organizat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n e Bashk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punimit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Shangait (SCO) e mb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shtetur nga strukturat p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se financiare dhe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zhvillimit. N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, nj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num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r vendesh gjenden n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mes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saj qendre duke iu dashur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rballen me zgjedhje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v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shtira midis strategjive nj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koh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sisht bashk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>rkuese dhe alternativave</w:t>
      </w:r>
      <w:r w:rsidR="00060AA0">
        <w:rPr>
          <w:noProof/>
          <w:lang w:val="sq-AL"/>
        </w:rPr>
        <w:t xml:space="preserve"> mosp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rputh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se q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lidhen me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dyja qendrat,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kurthuara n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kontekst gjeografik t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060AA0">
        <w:rPr>
          <w:noProof/>
          <w:lang w:val="sq-AL"/>
        </w:rPr>
        <w:t>rlikuar.</w:t>
      </w:r>
    </w:p>
    <w:p w:rsidR="00060AA0" w:rsidRDefault="00060AA0" w:rsidP="00060AA0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lastRenderedPageBreak/>
        <w:t>Modeli Social Europian (M</w:t>
      </w:r>
      <w:r w:rsidR="00FF2EA4">
        <w:rPr>
          <w:noProof/>
          <w:lang w:val="sq-AL"/>
        </w:rPr>
        <w:t>SE</w:t>
      </w:r>
      <w:r>
        <w:rPr>
          <w:noProof/>
          <w:lang w:val="sq-AL"/>
        </w:rPr>
        <w:t xml:space="preserve">), </w:t>
      </w:r>
      <w:r w:rsidR="004A4D9D">
        <w:rPr>
          <w:noProof/>
          <w:lang w:val="sq-AL"/>
        </w:rPr>
        <w:t>emblema p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 nj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arritje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pashoqe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suksesit ekonomik e bashk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plot</w:t>
      </w:r>
      <w:r w:rsidR="00EA5891">
        <w:rPr>
          <w:noProof/>
          <w:lang w:val="sq-AL"/>
        </w:rPr>
        <w:t>ë</w:t>
      </w:r>
      <w:r w:rsidR="00BB1DBA">
        <w:rPr>
          <w:noProof/>
          <w:lang w:val="sq-AL"/>
        </w:rPr>
        <w:t>suar nga zhvillimi dhe kohez</w:t>
      </w:r>
      <w:r w:rsidR="004A4D9D">
        <w:rPr>
          <w:noProof/>
          <w:lang w:val="sq-AL"/>
        </w:rPr>
        <w:t xml:space="preserve">ioni social, 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goditur r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nga fuqia shkat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rruese e politik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s “shtr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nguese”,  duke d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mtuar shanset p</w:t>
      </w:r>
      <w:r w:rsidR="00EA5891">
        <w:rPr>
          <w:noProof/>
          <w:lang w:val="sq-AL"/>
        </w:rPr>
        <w:t>ë</w:t>
      </w:r>
      <w:r w:rsidR="00BB1DBA">
        <w:rPr>
          <w:noProof/>
          <w:lang w:val="sq-AL"/>
        </w:rPr>
        <w:t>r rritje efikas</w:t>
      </w:r>
      <w:r w:rsidR="004A4D9D">
        <w:rPr>
          <w:noProof/>
          <w:lang w:val="sq-AL"/>
        </w:rPr>
        <w:t>e, p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 cil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sin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e krijimit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vendeve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s, p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 dialog social kuptimplot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dhe politika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mbrojtjes sociale, q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si q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llim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luftojn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nivelet, gjithnj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rritje,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pabarazive dhe 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varf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. ESM-ja, e cila dikur ka qen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burim orientimi dhe kuad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 reference p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 sindikatat dhe ligj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rat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n e politikave publike brenda dhe jasht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BE-s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, 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 marxhinalizuar ose p</w:t>
      </w:r>
      <w:r w:rsidR="00EA5891">
        <w:rPr>
          <w:noProof/>
          <w:lang w:val="sq-AL"/>
        </w:rPr>
        <w:t>ë</w:t>
      </w:r>
      <w:r w:rsidR="004A4D9D">
        <w:rPr>
          <w:noProof/>
          <w:lang w:val="sq-AL"/>
        </w:rPr>
        <w:t xml:space="preserve">rjashtuar </w:t>
      </w:r>
      <w:r w:rsidR="0030727F">
        <w:rPr>
          <w:noProof/>
          <w:lang w:val="sq-AL"/>
        </w:rPr>
        <w:t>vazhdimisht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n e re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qeverisjes ekonomike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BE. P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r aktor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t e tjer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rajonin Europian, politika e BE-s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ka g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rryer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efikase fuqin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rheq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</w:t>
      </w:r>
      <w:r w:rsidR="00FF2EA4">
        <w:rPr>
          <w:noProof/>
          <w:lang w:val="sq-AL"/>
        </w:rPr>
        <w:t xml:space="preserve">MSE </w:t>
      </w:r>
      <w:r w:rsidR="0030727F">
        <w:rPr>
          <w:noProof/>
          <w:lang w:val="sq-AL"/>
        </w:rPr>
        <w:t>-s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r sa i p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rket standardeve dhe praktikave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transferueshme. Gjithashtu, sistemet sociale dhe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 an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 tregojn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tendenca divergjente duke “ngushtuar”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pashmangshme inter</w:t>
      </w:r>
      <w:r w:rsidR="00BB1DBA">
        <w:rPr>
          <w:noProof/>
          <w:lang w:val="sq-AL"/>
        </w:rPr>
        <w:t>e</w:t>
      </w:r>
      <w:r w:rsidR="0030727F">
        <w:rPr>
          <w:noProof/>
          <w:lang w:val="sq-AL"/>
        </w:rPr>
        <w:t>sat e sindikatave gjat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rrug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s. Me keqardhje, kur efektet e konvergjenc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 jan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dukshme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rajon, kjo ndodh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radh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par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nivelin e degradimit dhe shkeljes s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drejtave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>s dhe t</w:t>
      </w:r>
      <w:r w:rsidR="00EA5891">
        <w:rPr>
          <w:noProof/>
          <w:lang w:val="sq-AL"/>
        </w:rPr>
        <w:t>ë</w:t>
      </w:r>
      <w:r w:rsidR="0030727F">
        <w:rPr>
          <w:noProof/>
          <w:lang w:val="sq-AL"/>
        </w:rPr>
        <w:t xml:space="preserve"> sindikatave.</w:t>
      </w:r>
    </w:p>
    <w:p w:rsidR="00151C77" w:rsidRDefault="00151C77" w:rsidP="00151C77">
      <w:pPr>
        <w:pStyle w:val="ListParagraph"/>
        <w:jc w:val="both"/>
        <w:rPr>
          <w:noProof/>
          <w:lang w:val="sq-AL"/>
        </w:rPr>
      </w:pPr>
    </w:p>
    <w:p w:rsidR="00151C77" w:rsidRPr="00060AA0" w:rsidRDefault="00151C77" w:rsidP="00060AA0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Efektet e kombinuara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presioneve dhe diversiteteve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plan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viteve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ngushtuar ndjesh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“fush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veprimit”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sindikat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prishur baz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potencialin e mobilizimit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ushtruar presion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ndryshimin e kursit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drejtimit. Prioritetet dhe perspektivat e kongresit t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 xml:space="preserve"> ITUC-ut dhe ETUC-ut</w:t>
      </w:r>
      <w:r>
        <w:rPr>
          <w:noProof/>
          <w:lang w:val="sq-AL"/>
        </w:rPr>
        <w:t xml:space="preserve"> tregojn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qart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se sa urgjente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situata dhe sigurojn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korniza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nevojshme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drejtuar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rkimin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gjetjen e zgjidhjeve politike alternative dhe nismave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kontekstin specifik. </w:t>
      </w:r>
      <w:r w:rsidR="003D001E">
        <w:rPr>
          <w:noProof/>
          <w:lang w:val="sq-AL"/>
        </w:rPr>
        <w:t>Me gjith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problemet dhe sfidat q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po p</w:t>
      </w:r>
      <w:r w:rsidR="00EA5891">
        <w:rPr>
          <w:noProof/>
          <w:lang w:val="sq-AL"/>
        </w:rPr>
        <w:t>ë</w:t>
      </w:r>
      <w:r w:rsidR="00BB1DBA">
        <w:rPr>
          <w:noProof/>
          <w:lang w:val="sq-AL"/>
        </w:rPr>
        <w:t>r</w:t>
      </w:r>
      <w:r w:rsidR="003D001E">
        <w:rPr>
          <w:noProof/>
          <w:lang w:val="sq-AL"/>
        </w:rPr>
        <w:t>ballet Europa, ajo ofron ende nj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nga bazat m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mira dhe potencial krijues p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r </w:t>
      </w:r>
      <w:r w:rsidR="00FF2EA4">
        <w:rPr>
          <w:noProof/>
          <w:lang w:val="sq-AL"/>
        </w:rPr>
        <w:t>arritjen e ndryshimit dhe PERC-u</w:t>
      </w:r>
      <w:r w:rsidR="003D001E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platform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 xml:space="preserve"> e volitshme p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>r koordinimin dhe mb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>shtetjen e p</w:t>
      </w:r>
      <w:r w:rsidR="00EA5891">
        <w:rPr>
          <w:noProof/>
          <w:lang w:val="sq-AL"/>
        </w:rPr>
        <w:t>ë</w:t>
      </w:r>
      <w:r w:rsidR="003D001E">
        <w:rPr>
          <w:noProof/>
          <w:lang w:val="sq-AL"/>
        </w:rPr>
        <w:t>rpjekje</w:t>
      </w:r>
      <w:r w:rsidR="00BB1DBA">
        <w:rPr>
          <w:noProof/>
          <w:lang w:val="sq-AL"/>
        </w:rPr>
        <w:t>ve</w:t>
      </w:r>
      <w:r w:rsidR="003D001E">
        <w:rPr>
          <w:noProof/>
          <w:lang w:val="sq-AL"/>
        </w:rPr>
        <w:t xml:space="preserve"> </w:t>
      </w:r>
      <w:r w:rsidR="00FF2EA4">
        <w:rPr>
          <w:noProof/>
          <w:lang w:val="sq-AL"/>
        </w:rPr>
        <w:t>të tilla novatore</w:t>
      </w:r>
      <w:r w:rsidR="003D001E">
        <w:rPr>
          <w:noProof/>
          <w:lang w:val="sq-AL"/>
        </w:rPr>
        <w:t>.</w:t>
      </w:r>
    </w:p>
    <w:p w:rsidR="00E92961" w:rsidRPr="00FE232F" w:rsidRDefault="00E92961" w:rsidP="008F6EE5">
      <w:pPr>
        <w:pStyle w:val="ListParagraph"/>
        <w:jc w:val="both"/>
        <w:rPr>
          <w:noProof/>
          <w:lang w:val="sq-AL"/>
        </w:rPr>
      </w:pPr>
    </w:p>
    <w:p w:rsidR="00A4622E" w:rsidRPr="00FE232F" w:rsidRDefault="00A4622E" w:rsidP="00A4622E">
      <w:pPr>
        <w:pStyle w:val="ListParagraph"/>
        <w:rPr>
          <w:noProof/>
          <w:lang w:val="sq-AL"/>
        </w:rPr>
      </w:pPr>
    </w:p>
    <w:p w:rsidR="00A4622E" w:rsidRPr="00FE232F" w:rsidRDefault="00FB28C6" w:rsidP="009E6683">
      <w:pPr>
        <w:pStyle w:val="ListParagraph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Q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llimi kryesor i </w:t>
      </w:r>
      <w:r w:rsidR="009F0D88" w:rsidRPr="00FE232F">
        <w:rPr>
          <w:b/>
          <w:noProof/>
          <w:lang w:val="sq-AL"/>
        </w:rPr>
        <w:t>PERC</w:t>
      </w:r>
      <w:r w:rsidR="00FF2EA4">
        <w:rPr>
          <w:b/>
          <w:noProof/>
          <w:lang w:val="sq-AL"/>
        </w:rPr>
        <w:t>-u</w:t>
      </w:r>
      <w:r>
        <w:rPr>
          <w:b/>
          <w:noProof/>
          <w:lang w:val="sq-AL"/>
        </w:rPr>
        <w:t>t</w:t>
      </w:r>
      <w:r w:rsidR="009E6683" w:rsidRPr="00FE232F">
        <w:rPr>
          <w:b/>
          <w:noProof/>
          <w:lang w:val="sq-AL"/>
        </w:rPr>
        <w:t xml:space="preserve">: </w:t>
      </w:r>
      <w:r>
        <w:rPr>
          <w:b/>
          <w:noProof/>
          <w:lang w:val="sq-AL"/>
        </w:rPr>
        <w:t>funksioni lidh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s shum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pal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sh     </w:t>
      </w:r>
    </w:p>
    <w:p w:rsidR="00A4622E" w:rsidRPr="00FE232F" w:rsidRDefault="00A4622E" w:rsidP="00A4622E">
      <w:pPr>
        <w:pStyle w:val="ListParagraph"/>
        <w:rPr>
          <w:noProof/>
          <w:lang w:val="sq-AL"/>
        </w:rPr>
      </w:pPr>
    </w:p>
    <w:p w:rsidR="004C1922" w:rsidRPr="00FB28C6" w:rsidRDefault="00FB28C6" w:rsidP="00FB28C6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Diversiteti dhe kompleksiteti gjithn</w:t>
      </w:r>
      <w:r w:rsidR="00BB1DBA">
        <w:rPr>
          <w:noProof/>
          <w:lang w:val="sq-AL"/>
        </w:rPr>
        <w:t>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rritje i sfidave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rajonit europian 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domosdoshme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rveprim edhe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aktiv dhe efikas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rmjet sindikatave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zhvilluar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perspektiv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sindikaliste dhe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qasje proaktive ndaj zhvillimeve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parandaluar divergjenca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jashtme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ush</w:t>
      </w:r>
      <w:r w:rsidR="00BB1DBA">
        <w:rPr>
          <w:noProof/>
          <w:lang w:val="sq-AL"/>
        </w:rPr>
        <w:t>t</w:t>
      </w:r>
      <w:r>
        <w:rPr>
          <w:noProof/>
          <w:lang w:val="sq-AL"/>
        </w:rPr>
        <w:t>rojn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 xml:space="preserve"> ndikim</w:t>
      </w:r>
      <w:r>
        <w:rPr>
          <w:noProof/>
          <w:lang w:val="sq-AL"/>
        </w:rPr>
        <w:t xml:space="preserve"> </w:t>
      </w:r>
      <w:r w:rsidR="00FF2EA4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 w:rsidR="00FF2EA4">
        <w:rPr>
          <w:noProof/>
          <w:lang w:val="sq-AL"/>
        </w:rPr>
        <w:t xml:space="preserve"> form</w:t>
      </w:r>
      <w:r w:rsidR="00586F80">
        <w:rPr>
          <w:noProof/>
          <w:lang w:val="sq-AL"/>
        </w:rPr>
        <w:t>ë</w:t>
      </w:r>
      <w:r w:rsidR="00FF2EA4">
        <w:rPr>
          <w:noProof/>
          <w:lang w:val="sq-AL"/>
        </w:rPr>
        <w:t>suar</w:t>
      </w:r>
      <w:r>
        <w:rPr>
          <w:noProof/>
          <w:lang w:val="sq-AL"/>
        </w:rPr>
        <w:t xml:space="preserve"> mbi debatin dhe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niet e brendshme.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FF2EA4">
        <w:rPr>
          <w:noProof/>
          <w:lang w:val="sq-AL"/>
        </w:rPr>
        <w:t xml:space="preserve"> fokus</w:t>
      </w:r>
      <w:r>
        <w:rPr>
          <w:noProof/>
          <w:lang w:val="sq-AL"/>
        </w:rPr>
        <w:t>uar me efikasitet hartimin e zgjidhjeve alternative dhe aktiviteteve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>ta, PERC-u</w:t>
      </w:r>
      <w:r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pozicionuar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koordinuar dhe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uar drejt</w:t>
      </w:r>
    </w:p>
    <w:p w:rsidR="00FB28C6" w:rsidRDefault="00FB28C6" w:rsidP="00344F4D">
      <w:pPr>
        <w:pStyle w:val="ListParagraph"/>
        <w:numPr>
          <w:ilvl w:val="0"/>
          <w:numId w:val="2"/>
        </w:numPr>
        <w:jc w:val="both"/>
        <w:rPr>
          <w:noProof/>
          <w:lang w:val="sq-AL"/>
        </w:rPr>
      </w:pPr>
      <w:r>
        <w:rPr>
          <w:noProof/>
          <w:lang w:val="sq-AL"/>
        </w:rPr>
        <w:t>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kuptueshm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rie dhe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shtetje</w:t>
      </w:r>
      <w:r w:rsidR="00F46193">
        <w:rPr>
          <w:noProof/>
          <w:lang w:val="sq-AL"/>
        </w:rPr>
        <w:t>je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rsjellt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nga ana 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gjitha sindikatave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kontekstet e tyre dhe </w:t>
      </w:r>
      <w:r w:rsidR="006701DF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>r sa i p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>rket p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>rballimit t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 xml:space="preserve"> sfidave t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 w:rsidR="006701DF">
        <w:rPr>
          <w:noProof/>
          <w:lang w:val="sq-AL"/>
        </w:rPr>
        <w:t>ta europiane;</w:t>
      </w:r>
    </w:p>
    <w:p w:rsidR="006701DF" w:rsidRDefault="006701DF" w:rsidP="00344F4D">
      <w:pPr>
        <w:pStyle w:val="ListParagraph"/>
        <w:numPr>
          <w:ilvl w:val="0"/>
          <w:numId w:val="2"/>
        </w:numPr>
        <w:jc w:val="both"/>
        <w:rPr>
          <w:noProof/>
          <w:lang w:val="sq-AL"/>
        </w:rPr>
      </w:pP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>r</w:t>
      </w:r>
      <w:r>
        <w:rPr>
          <w:noProof/>
          <w:lang w:val="sq-AL"/>
        </w:rPr>
        <w:t>timit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konsens</w:t>
      </w:r>
      <w:r w:rsidR="00F46193">
        <w:rPr>
          <w:noProof/>
          <w:lang w:val="sq-AL"/>
        </w:rPr>
        <w:t>us</w:t>
      </w:r>
      <w:r>
        <w:rPr>
          <w:noProof/>
          <w:lang w:val="sq-AL"/>
        </w:rPr>
        <w:t>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shtet e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sie rajonale/n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nrajonale dhe futjen e k</w:t>
      </w:r>
      <w:r w:rsidR="00F46193">
        <w:rPr>
          <w:noProof/>
          <w:lang w:val="sq-AL"/>
        </w:rPr>
        <w:t>ë</w:t>
      </w:r>
      <w:r>
        <w:rPr>
          <w:noProof/>
          <w:lang w:val="sq-AL"/>
        </w:rPr>
        <w:t>tyr</w:t>
      </w:r>
      <w:r w:rsidR="00F46193">
        <w:rPr>
          <w:noProof/>
          <w:lang w:val="sq-AL"/>
        </w:rPr>
        <w:t>e</w:t>
      </w:r>
      <w:r>
        <w:rPr>
          <w:noProof/>
          <w:lang w:val="sq-AL"/>
        </w:rPr>
        <w:t xml:space="preserve"> propozimeve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proceset e politikave dhe vendimmarrjes s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 xml:space="preserve"> ITUC-ut dhe, aty ku du</w:t>
      </w:r>
      <w:r w:rsidR="00BB1DBA">
        <w:rPr>
          <w:noProof/>
          <w:lang w:val="sq-AL"/>
        </w:rPr>
        <w:t>het, t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 xml:space="preserve"> ETUC-ut</w:t>
      </w:r>
      <w:r>
        <w:rPr>
          <w:noProof/>
          <w:lang w:val="sq-AL"/>
        </w:rPr>
        <w:t>;</w:t>
      </w:r>
    </w:p>
    <w:p w:rsidR="006701DF" w:rsidRDefault="006701DF" w:rsidP="00344F4D">
      <w:pPr>
        <w:pStyle w:val="ListParagraph"/>
        <w:numPr>
          <w:ilvl w:val="0"/>
          <w:numId w:val="2"/>
        </w:numPr>
        <w:jc w:val="both"/>
        <w:rPr>
          <w:noProof/>
          <w:lang w:val="sq-AL"/>
        </w:rPr>
      </w:pPr>
      <w:r>
        <w:rPr>
          <w:noProof/>
          <w:lang w:val="sq-AL"/>
        </w:rPr>
        <w:t>shfryt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zimit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efikas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kanaleve dhe instrumentave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disponueshme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informuar dhe influencuar aktor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 e jasht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nivele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tare, europiane dhe 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tare;</w:t>
      </w:r>
    </w:p>
    <w:p w:rsidR="006701DF" w:rsidRDefault="006701DF" w:rsidP="00344F4D">
      <w:pPr>
        <w:pStyle w:val="ListParagraph"/>
        <w:numPr>
          <w:ilvl w:val="0"/>
          <w:numId w:val="2"/>
        </w:numPr>
        <w:jc w:val="both"/>
        <w:rPr>
          <w:noProof/>
          <w:lang w:val="sq-AL"/>
        </w:rPr>
      </w:pPr>
      <w:r>
        <w:rPr>
          <w:noProof/>
          <w:lang w:val="sq-AL"/>
        </w:rPr>
        <w:t>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nocioni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“solidaritetit” si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kuptuar tjetrin,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zhvillim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 idesh dhe veprimesh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tejkalon transferimin e thjesht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burimeve ose 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mbimin 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rshkrimit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modeleve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rvojave. Divergjencat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thellohen dhe potenciali real i organizatave </w:t>
      </w:r>
      <w:r w:rsidR="007A4D0B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 t’u b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ball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rezultateve, tep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r shpesh </w:t>
      </w:r>
      <w:r w:rsidR="007A4D0B">
        <w:rPr>
          <w:noProof/>
          <w:lang w:val="sq-AL"/>
        </w:rPr>
        <w:lastRenderedPageBreak/>
        <w:t>kufizojn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mos th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rjashtojn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, pritshm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rit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>r “transferime” produktive nga nj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kontekst n</w:t>
      </w:r>
      <w:r w:rsidR="00EA5891">
        <w:rPr>
          <w:noProof/>
          <w:lang w:val="sq-AL"/>
        </w:rPr>
        <w:t>ë</w:t>
      </w:r>
      <w:r w:rsidR="007A4D0B">
        <w:rPr>
          <w:noProof/>
          <w:lang w:val="sq-AL"/>
        </w:rPr>
        <w:t xml:space="preserve"> tjetrin.</w:t>
      </w:r>
    </w:p>
    <w:p w:rsidR="007A4D0B" w:rsidRDefault="007A4D0B" w:rsidP="0080430A">
      <w:pPr>
        <w:ind w:left="720"/>
        <w:jc w:val="both"/>
        <w:rPr>
          <w:noProof/>
          <w:lang w:val="sq-AL"/>
        </w:rPr>
      </w:pPr>
      <w:r>
        <w:rPr>
          <w:noProof/>
          <w:lang w:val="sq-AL"/>
        </w:rPr>
        <w:t>Efikasiteti dhe suksesi i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tij “funksioni lidh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s”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dimensional dhe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pal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>sh, i PERC-u</w:t>
      </w:r>
      <w:r>
        <w:rPr>
          <w:noProof/>
          <w:lang w:val="sq-AL"/>
        </w:rPr>
        <w:t>t,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sohej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rmes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angazhimi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rdrejt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vazhduesh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apo grupit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t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 xml:space="preserve"> PERC-u</w:t>
      </w:r>
      <w:r>
        <w:rPr>
          <w:noProof/>
          <w:lang w:val="sq-AL"/>
        </w:rPr>
        <w:t>t,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cil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 nisin dhe zbatojn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praktik</w:t>
      </w:r>
      <w:r w:rsidR="00EA5891">
        <w:rPr>
          <w:noProof/>
          <w:lang w:val="sq-AL"/>
        </w:rPr>
        <w:t>ë</w:t>
      </w:r>
      <w:r w:rsidR="00BB1DBA">
        <w:rPr>
          <w:noProof/>
          <w:lang w:val="sq-AL"/>
        </w:rPr>
        <w:t xml:space="preserve"> ide, projekte dhe</w:t>
      </w:r>
      <w:r>
        <w:rPr>
          <w:noProof/>
          <w:lang w:val="sq-AL"/>
        </w:rPr>
        <w:t xml:space="preserve"> veprime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anta. Natyra e hapur e ciklit operacional t</w:t>
      </w:r>
      <w:r w:rsidR="00EA5891">
        <w:rPr>
          <w:noProof/>
          <w:lang w:val="sq-AL"/>
        </w:rPr>
        <w:t>ë</w:t>
      </w:r>
      <w:r w:rsidR="00F46193">
        <w:rPr>
          <w:noProof/>
          <w:lang w:val="sq-AL"/>
        </w:rPr>
        <w:t xml:space="preserve"> PERC-u</w:t>
      </w:r>
      <w:r>
        <w:rPr>
          <w:noProof/>
          <w:lang w:val="sq-AL"/>
        </w:rPr>
        <w:t>t, e 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njosur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Programin e Aktiviteteve vjetor</w:t>
      </w:r>
      <w:r w:rsidR="002A4806">
        <w:rPr>
          <w:noProof/>
          <w:lang w:val="sq-AL"/>
        </w:rPr>
        <w:t>e, p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se, krijon hap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sir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dhe stimuj t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mjaftuesh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m p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r fokusimin dhe elasticitetin e nevojsh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m t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veprimit n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koh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dhe kontekst</w:t>
      </w:r>
      <w:r w:rsidR="00235903">
        <w:rPr>
          <w:noProof/>
          <w:lang w:val="sq-AL"/>
        </w:rPr>
        <w:t>it</w:t>
      </w:r>
      <w:r w:rsidR="002A4806">
        <w:rPr>
          <w:noProof/>
          <w:lang w:val="sq-AL"/>
        </w:rPr>
        <w:t xml:space="preserve"> real. Nisma dhe bashk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punimi i an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ve 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 w:rsidR="002A4806">
        <w:rPr>
          <w:noProof/>
          <w:lang w:val="sq-AL"/>
        </w:rPr>
        <w:t>el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si p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r konkretizimin e k</w:t>
      </w:r>
      <w:r w:rsidR="00586F80">
        <w:rPr>
          <w:noProof/>
          <w:lang w:val="sq-AL"/>
        </w:rPr>
        <w:t>ë</w:t>
      </w:r>
      <w:r w:rsidR="002A4806">
        <w:rPr>
          <w:noProof/>
          <w:lang w:val="sq-AL"/>
        </w:rPr>
        <w:t>tij potenciali. Burimet financiare jan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faktor i r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>sish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m por jo vendim</w:t>
      </w:r>
      <w:r w:rsidR="002A4806">
        <w:rPr>
          <w:noProof/>
          <w:lang w:val="sq-AL"/>
        </w:rPr>
        <w:t>tar</w:t>
      </w:r>
      <w:r w:rsidR="00235903">
        <w:rPr>
          <w:noProof/>
          <w:lang w:val="sq-AL"/>
        </w:rPr>
        <w:t>e</w:t>
      </w:r>
      <w:r w:rsidR="002A4806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2A4806">
        <w:rPr>
          <w:noProof/>
          <w:lang w:val="sq-AL"/>
        </w:rPr>
        <w:t xml:space="preserve"> gjitha rastet.</w:t>
      </w:r>
    </w:p>
    <w:p w:rsidR="00344F4D" w:rsidRPr="00FE232F" w:rsidRDefault="002A4806" w:rsidP="00344F4D">
      <w:pPr>
        <w:pStyle w:val="ListParagraph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Rritja e dukshm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ris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s</w:t>
      </w:r>
      <w:r w:rsidR="00EA5891">
        <w:rPr>
          <w:b/>
          <w:noProof/>
          <w:lang w:val="sq-AL"/>
        </w:rPr>
        <w:t>ë</w:t>
      </w:r>
      <w:r w:rsidR="00235903">
        <w:rPr>
          <w:b/>
          <w:noProof/>
          <w:lang w:val="sq-AL"/>
        </w:rPr>
        <w:t xml:space="preserve"> PERC-u</w:t>
      </w:r>
      <w:r>
        <w:rPr>
          <w:b/>
          <w:noProof/>
          <w:lang w:val="sq-AL"/>
        </w:rPr>
        <w:t>t n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arkitektur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n sindikaliste europiane dhe p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rfshirja n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procesin e politikave n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ITUC dhe ETUC    </w:t>
      </w:r>
    </w:p>
    <w:p w:rsidR="00AE2F30" w:rsidRPr="00FE232F" w:rsidRDefault="00AE2F30" w:rsidP="00344F4D">
      <w:pPr>
        <w:pStyle w:val="ListParagraph"/>
        <w:jc w:val="both"/>
        <w:rPr>
          <w:noProof/>
          <w:lang w:val="sq-AL"/>
        </w:rPr>
      </w:pPr>
    </w:p>
    <w:p w:rsidR="00C84C7B" w:rsidRPr="00851AF2" w:rsidRDefault="002A4806" w:rsidP="00851AF2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Sekretari 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m i PERC-u</w:t>
      </w:r>
      <w:r>
        <w:rPr>
          <w:noProof/>
          <w:lang w:val="sq-AL"/>
        </w:rPr>
        <w:t xml:space="preserve">t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 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plot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shillit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dhe Byros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Ekzekutive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ITUC-ut</w:t>
      </w:r>
      <w:r>
        <w:rPr>
          <w:noProof/>
          <w:lang w:val="sq-AL"/>
        </w:rPr>
        <w:t xml:space="preserve"> dhe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rhyj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rdrejt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n e ketyre organizmave. </w:t>
      </w:r>
      <w:r w:rsidR="00B8508F">
        <w:rPr>
          <w:noProof/>
          <w:lang w:val="sq-AL"/>
        </w:rPr>
        <w:t>Sekretari i P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m i ETUC-ut 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, gjithashtu, Sekretari i P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m i PERC-u</w:t>
      </w:r>
      <w:r w:rsidR="00B8508F">
        <w:rPr>
          <w:noProof/>
          <w:lang w:val="sq-AL"/>
        </w:rPr>
        <w:t>t, gj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siguron akses t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drejp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rdrejt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>n e Komitetit Ekzekutiv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ETUC-ut</w:t>
      </w:r>
      <w:r w:rsidR="00B8508F">
        <w:rPr>
          <w:noProof/>
          <w:lang w:val="sq-AL"/>
        </w:rPr>
        <w:t>, n</w:t>
      </w:r>
      <w:r w:rsidR="00EA5891">
        <w:rPr>
          <w:noProof/>
          <w:lang w:val="sq-AL"/>
        </w:rPr>
        <w:t>ë</w:t>
      </w:r>
      <w:r w:rsidR="00B8508F">
        <w:rPr>
          <w:noProof/>
          <w:lang w:val="sq-AL"/>
        </w:rPr>
        <w:t xml:space="preserve"> rast nevoje. </w:t>
      </w:r>
      <w:r w:rsidR="00C84C7B" w:rsidRPr="00851AF2">
        <w:rPr>
          <w:noProof/>
          <w:lang w:val="sq-AL"/>
        </w:rPr>
        <w:t>Kjo ka qen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tashm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praktik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e re e Komunikimeve 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Sekretarit 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m dhe miratimit 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rezolut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s PERC p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r Ukrain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n nga ana e ETUC-</w:t>
      </w:r>
      <w:r w:rsidR="00235903">
        <w:rPr>
          <w:noProof/>
          <w:lang w:val="sq-AL"/>
        </w:rPr>
        <w:t>ut</w:t>
      </w:r>
      <w:r w:rsidR="00C84C7B" w:rsidRPr="00851AF2">
        <w:rPr>
          <w:noProof/>
          <w:lang w:val="sq-AL"/>
        </w:rPr>
        <w:t>. N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, zbatohen t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gjitha kushtet dhe kanalet ligjore dhe institucionale dhe gjith</w:t>
      </w:r>
      <w:r w:rsidR="00EA5891">
        <w:rPr>
          <w:noProof/>
          <w:lang w:val="sq-AL"/>
        </w:rPr>
        <w:t>ç</w:t>
      </w:r>
      <w:r w:rsidR="00C84C7B" w:rsidRPr="00851AF2">
        <w:rPr>
          <w:noProof/>
          <w:lang w:val="sq-AL"/>
        </w:rPr>
        <w:t>ka q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nevojitet krijon nj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>rfshirje m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aktive e vet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PERC-u</w:t>
      </w:r>
      <w:r w:rsidR="00C84C7B" w:rsidRPr="00851AF2">
        <w:rPr>
          <w:noProof/>
          <w:lang w:val="sq-AL"/>
        </w:rPr>
        <w:t>t n</w:t>
      </w:r>
      <w:r w:rsidR="00EA5891">
        <w:rPr>
          <w:noProof/>
          <w:lang w:val="sq-AL"/>
        </w:rPr>
        <w:t>ë</w:t>
      </w:r>
      <w:r w:rsidR="00C84C7B" w:rsidRPr="00851AF2">
        <w:rPr>
          <w:noProof/>
          <w:lang w:val="sq-AL"/>
        </w:rPr>
        <w:t xml:space="preserve"> proces.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FC4CF1" w:rsidRDefault="00C84C7B" w:rsidP="00C84C7B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q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llime, PERC-u</w:t>
      </w:r>
      <w:r>
        <w:rPr>
          <w:noProof/>
          <w:lang w:val="sq-AL"/>
        </w:rPr>
        <w:t>t do t’i duhet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rishikoj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modelin aktual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235903">
        <w:rPr>
          <w:noProof/>
          <w:lang w:val="sq-AL"/>
        </w:rPr>
        <w:t>veprimit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shfryt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zuar mund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disponueshme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</w:t>
      </w:r>
      <w:r w:rsidR="00235903">
        <w:rPr>
          <w:noProof/>
          <w:lang w:val="sq-AL"/>
        </w:rPr>
        <w:t>:</w:t>
      </w:r>
    </w:p>
    <w:p w:rsidR="00C84C7B" w:rsidRPr="00C84C7B" w:rsidRDefault="00C84C7B" w:rsidP="00C84C7B">
      <w:pPr>
        <w:pStyle w:val="ListParagraph"/>
        <w:rPr>
          <w:noProof/>
          <w:lang w:val="sq-AL"/>
        </w:rPr>
      </w:pPr>
    </w:p>
    <w:p w:rsidR="00C84C7B" w:rsidRPr="00C84C7B" w:rsidRDefault="00C84C7B" w:rsidP="00C84C7B">
      <w:pPr>
        <w:pStyle w:val="ListParagraph"/>
        <w:jc w:val="both"/>
        <w:rPr>
          <w:noProof/>
          <w:lang w:val="sq-AL"/>
        </w:rPr>
      </w:pPr>
    </w:p>
    <w:p w:rsidR="00C84C7B" w:rsidRDefault="00C84C7B" w:rsidP="00FC4CF1">
      <w:pPr>
        <w:pStyle w:val="ListParagraph"/>
        <w:numPr>
          <w:ilvl w:val="0"/>
          <w:numId w:val="3"/>
        </w:numPr>
        <w:jc w:val="both"/>
        <w:rPr>
          <w:noProof/>
          <w:lang w:val="sq-AL"/>
        </w:rPr>
      </w:pPr>
      <w:r>
        <w:rPr>
          <w:noProof/>
          <w:lang w:val="sq-AL"/>
        </w:rPr>
        <w:t>t’i siguruar Sekretarit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mandatin e duhur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pozicion/propozim n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rputhje</w:t>
      </w:r>
      <w:r>
        <w:rPr>
          <w:noProof/>
          <w:lang w:val="sq-AL"/>
        </w:rPr>
        <w:t xml:space="preserve"> me agjend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ITUC-ut dhe ETUC-ut</w:t>
      </w:r>
      <w:r>
        <w:rPr>
          <w:noProof/>
          <w:lang w:val="sq-AL"/>
        </w:rPr>
        <w:t>, os</w:t>
      </w:r>
      <w:r w:rsidR="00A2770B">
        <w:rPr>
          <w:noProof/>
          <w:lang w:val="sq-AL"/>
        </w:rPr>
        <w:t>e p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paraqitur nj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çë</w:t>
      </w:r>
      <w:r w:rsidR="00A2770B">
        <w:rPr>
          <w:noProof/>
          <w:lang w:val="sq-AL"/>
        </w:rPr>
        <w:t>shtje ose nism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specifike PERC q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duhet t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merret parasysh dhe t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veprohet n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A2770B">
        <w:rPr>
          <w:noProof/>
          <w:lang w:val="sq-AL"/>
        </w:rPr>
        <w:t>rputhje me to.</w:t>
      </w:r>
    </w:p>
    <w:p w:rsidR="00A2770B" w:rsidRDefault="00A2770B" w:rsidP="00FC4CF1">
      <w:pPr>
        <w:pStyle w:val="ListParagraph"/>
        <w:numPr>
          <w:ilvl w:val="0"/>
          <w:numId w:val="3"/>
        </w:numPr>
        <w:jc w:val="both"/>
        <w:rPr>
          <w:noProof/>
          <w:lang w:val="sq-AL"/>
        </w:rPr>
      </w:pPr>
      <w:r>
        <w:rPr>
          <w:noProof/>
          <w:lang w:val="sq-AL"/>
        </w:rPr>
        <w:t>t’i 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7D4109">
        <w:rPr>
          <w:noProof/>
          <w:lang w:val="sq-AL"/>
        </w:rPr>
        <w:t xml:space="preserve"> modelit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235903">
        <w:rPr>
          <w:noProof/>
          <w:lang w:val="sq-AL"/>
        </w:rPr>
        <w:t>veprimit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PERC-u</w:t>
      </w:r>
      <w:r>
        <w:rPr>
          <w:noProof/>
          <w:lang w:val="sq-AL"/>
        </w:rPr>
        <w:t>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sa 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rket koh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s dhe p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>rmbajtje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debatit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rp</w:t>
      </w:r>
      <w:r w:rsidR="007D4109">
        <w:rPr>
          <w:noProof/>
          <w:lang w:val="sq-AL"/>
        </w:rPr>
        <w:t>u</w:t>
      </w:r>
      <w:r>
        <w:rPr>
          <w:noProof/>
          <w:lang w:val="sq-AL"/>
        </w:rPr>
        <w:t>thje me planet kohore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mbledhjeve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shillit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ITUC-ut</w:t>
      </w:r>
      <w:r>
        <w:rPr>
          <w:noProof/>
          <w:lang w:val="sq-AL"/>
        </w:rPr>
        <w:t xml:space="preserve"> dhe, sipas rastit,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Komitetit Ekzekutiv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ETUC-ut</w:t>
      </w:r>
      <w:r>
        <w:rPr>
          <w:noProof/>
          <w:lang w:val="sq-AL"/>
        </w:rPr>
        <w:t>. Kryesisht, kjo ka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me koh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</w:t>
      </w:r>
      <w:r w:rsidR="003541E4">
        <w:rPr>
          <w:noProof/>
          <w:lang w:val="sq-AL"/>
        </w:rPr>
        <w:t xml:space="preserve"> e Komitetit Ekzekutiv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ETUC-ut</w:t>
      </w:r>
      <w:r>
        <w:rPr>
          <w:noProof/>
          <w:lang w:val="sq-AL"/>
        </w:rPr>
        <w:t xml:space="preserve"> dhe vijim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forumit 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dyt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>, 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diskutimevet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politikave (aktualisht do 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zhvillohet me titullin “</w:t>
      </w:r>
      <w:r w:rsidR="003541E4" w:rsidRPr="007D4109">
        <w:rPr>
          <w:i/>
          <w:noProof/>
          <w:lang w:val="sq-AL"/>
        </w:rPr>
        <w:t>Summer School</w:t>
      </w:r>
      <w:r w:rsidR="003541E4">
        <w:rPr>
          <w:noProof/>
          <w:lang w:val="sq-AL"/>
        </w:rPr>
        <w:t>” (“Shkoll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Verore”) brenda ciklit vjetor t</w:t>
      </w:r>
      <w:r w:rsidR="00EA5891">
        <w:rPr>
          <w:noProof/>
          <w:lang w:val="sq-AL"/>
        </w:rPr>
        <w:t>ë</w:t>
      </w:r>
      <w:r w:rsidR="003541E4">
        <w:rPr>
          <w:noProof/>
          <w:lang w:val="sq-AL"/>
        </w:rPr>
        <w:t xml:space="preserve"> aktiviteteve </w:t>
      </w:r>
      <w:r w:rsidR="00235903">
        <w:rPr>
          <w:noProof/>
          <w:lang w:val="sq-AL"/>
        </w:rPr>
        <w:t xml:space="preserve">te </w:t>
      </w:r>
      <w:r w:rsidR="003541E4">
        <w:rPr>
          <w:noProof/>
          <w:lang w:val="sq-AL"/>
        </w:rPr>
        <w:t>PERC</w:t>
      </w:r>
      <w:r w:rsidR="00235903">
        <w:rPr>
          <w:noProof/>
          <w:lang w:val="sq-AL"/>
        </w:rPr>
        <w:t>-ut</w:t>
      </w:r>
      <w:r w:rsidR="003541E4">
        <w:rPr>
          <w:noProof/>
          <w:lang w:val="sq-AL"/>
        </w:rPr>
        <w:t>.</w:t>
      </w:r>
    </w:p>
    <w:p w:rsidR="003E288C" w:rsidRPr="00FE232F" w:rsidRDefault="003E288C" w:rsidP="003E288C">
      <w:pPr>
        <w:pStyle w:val="ListParagraph"/>
        <w:ind w:left="1440"/>
        <w:jc w:val="both"/>
        <w:rPr>
          <w:noProof/>
          <w:lang w:val="sq-AL"/>
        </w:rPr>
      </w:pPr>
    </w:p>
    <w:p w:rsidR="003541E4" w:rsidRDefault="003541E4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 xml:space="preserve">Gjithashtu, procesi i rishikimit </w:t>
      </w:r>
      <w:r w:rsidR="00A03DA5">
        <w:rPr>
          <w:noProof/>
          <w:lang w:val="sq-AL"/>
        </w:rPr>
        <w:t>duhet t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adresoj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edhe kapacitetet e ekspertit dhe ato logjistike t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sekretariatit aktual t</w:t>
      </w:r>
      <w:r w:rsidR="00EA5891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PERC-u</w:t>
      </w:r>
      <w:r w:rsidR="00A03DA5">
        <w:rPr>
          <w:noProof/>
          <w:lang w:val="sq-AL"/>
        </w:rPr>
        <w:t>t, me q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llim q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mb</w:t>
      </w:r>
      <w:r w:rsidR="00EA5891">
        <w:rPr>
          <w:noProof/>
          <w:lang w:val="sq-AL"/>
        </w:rPr>
        <w:t>ë</w:t>
      </w:r>
      <w:r w:rsidR="007D4109">
        <w:rPr>
          <w:noProof/>
          <w:lang w:val="sq-AL"/>
        </w:rPr>
        <w:t>shtes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efikase zhvillimin e pozicioneve/propozimeve </w:t>
      </w:r>
      <w:r w:rsidR="00235903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 w:rsidR="00235903">
        <w:rPr>
          <w:noProof/>
          <w:lang w:val="sq-AL"/>
        </w:rPr>
        <w:t xml:space="preserve"> </w:t>
      </w:r>
      <w:r w:rsidR="00A03DA5">
        <w:rPr>
          <w:noProof/>
          <w:lang w:val="sq-AL"/>
        </w:rPr>
        <w:t>PERC</w:t>
      </w:r>
      <w:r w:rsidR="00235903">
        <w:rPr>
          <w:noProof/>
          <w:lang w:val="sq-AL"/>
        </w:rPr>
        <w:t>-ut</w:t>
      </w:r>
      <w:r w:rsidR="00A03DA5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n drit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n e aksesit t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kufizuar ndaj ekspertiz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 xml:space="preserve"> jashtme, ve</w:t>
      </w:r>
      <w:r w:rsidR="00EA5891">
        <w:rPr>
          <w:noProof/>
          <w:lang w:val="sq-AL"/>
        </w:rPr>
        <w:t>ç</w:t>
      </w:r>
      <w:r w:rsidR="00A03DA5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risht asaj “sipas k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rkes</w:t>
      </w:r>
      <w:r w:rsidR="00EA5891">
        <w:rPr>
          <w:noProof/>
          <w:lang w:val="sq-AL"/>
        </w:rPr>
        <w:t>ë</w:t>
      </w:r>
      <w:r w:rsidR="00A03DA5">
        <w:rPr>
          <w:noProof/>
          <w:lang w:val="sq-AL"/>
        </w:rPr>
        <w:t>s”.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7D4109" w:rsidRDefault="007D4109" w:rsidP="008F6EE5">
      <w:pPr>
        <w:pStyle w:val="ListParagraph"/>
        <w:jc w:val="both"/>
        <w:rPr>
          <w:b/>
          <w:noProof/>
          <w:lang w:val="sq-AL"/>
        </w:rPr>
      </w:pPr>
    </w:p>
    <w:p w:rsidR="007D4109" w:rsidRDefault="007D4109" w:rsidP="008F6EE5">
      <w:pPr>
        <w:pStyle w:val="ListParagraph"/>
        <w:jc w:val="both"/>
        <w:rPr>
          <w:b/>
          <w:noProof/>
          <w:lang w:val="sq-AL"/>
        </w:rPr>
      </w:pPr>
    </w:p>
    <w:p w:rsidR="003E288C" w:rsidRPr="00FE232F" w:rsidRDefault="00A03DA5" w:rsidP="008F6EE5">
      <w:pPr>
        <w:pStyle w:val="ListParagraph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Nd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rveprimi i </w:t>
      </w:r>
      <w:r w:rsidR="003E288C" w:rsidRPr="00FE232F">
        <w:rPr>
          <w:b/>
          <w:noProof/>
          <w:lang w:val="sq-AL"/>
        </w:rPr>
        <w:t>PERC</w:t>
      </w:r>
      <w:r w:rsidR="00235903">
        <w:rPr>
          <w:b/>
          <w:noProof/>
          <w:lang w:val="sq-AL"/>
        </w:rPr>
        <w:t>-u</w:t>
      </w:r>
      <w:r>
        <w:rPr>
          <w:b/>
          <w:noProof/>
          <w:lang w:val="sq-AL"/>
        </w:rPr>
        <w:t>t me kontekstet dhe aktor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t e jasht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m   </w:t>
      </w:r>
    </w:p>
    <w:p w:rsidR="003E288C" w:rsidRPr="00FE232F" w:rsidRDefault="003E288C" w:rsidP="008F6EE5">
      <w:pPr>
        <w:pStyle w:val="ListParagraph"/>
        <w:jc w:val="both"/>
        <w:rPr>
          <w:noProof/>
          <w:lang w:val="sq-AL"/>
        </w:rPr>
      </w:pPr>
    </w:p>
    <w:p w:rsidR="00A03DA5" w:rsidRDefault="00A03DA5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lastRenderedPageBreak/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rdorimi i kanaleve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ETUC-</w:t>
      </w:r>
      <w:r w:rsidR="00235903">
        <w:rPr>
          <w:noProof/>
          <w:lang w:val="sq-AL"/>
        </w:rPr>
        <w:t>ut</w:t>
      </w:r>
      <w:r>
        <w:rPr>
          <w:noProof/>
          <w:lang w:val="sq-AL"/>
        </w:rPr>
        <w:t xml:space="preserve"> dhe mund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tjera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civile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takuar institucionet e BE-s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konsoliduar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rveprimin me strukturat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BE, kryesisht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Komisionin Europian, Parlamentin Europian, </w:t>
      </w:r>
      <w:r w:rsidR="00235903">
        <w:rPr>
          <w:noProof/>
          <w:lang w:val="sq-AL"/>
        </w:rPr>
        <w:t>BERZH</w:t>
      </w:r>
      <w:r>
        <w:rPr>
          <w:noProof/>
          <w:lang w:val="sq-AL"/>
        </w:rPr>
        <w:t>-</w:t>
      </w:r>
      <w:r w:rsidR="00235903">
        <w:rPr>
          <w:noProof/>
          <w:lang w:val="sq-AL"/>
        </w:rPr>
        <w:t>i</w:t>
      </w:r>
      <w:r>
        <w:rPr>
          <w:noProof/>
          <w:lang w:val="sq-AL"/>
        </w:rPr>
        <w:t xml:space="preserve">n dhe </w:t>
      </w:r>
      <w:r w:rsidR="00235903">
        <w:rPr>
          <w:noProof/>
          <w:lang w:val="sq-AL"/>
        </w:rPr>
        <w:t>BEI</w:t>
      </w:r>
      <w:r>
        <w:rPr>
          <w:noProof/>
          <w:lang w:val="sq-AL"/>
        </w:rPr>
        <w:t>-n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ruajtuar aksesin ndaj informacionit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ofruar opinione dhe propozime sindikaliste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politikat e tyre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se, programet e zhvillimit dhe projektet e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anta.</w:t>
      </w:r>
    </w:p>
    <w:p w:rsidR="00E256CA" w:rsidRPr="00FE232F" w:rsidRDefault="00E256CA" w:rsidP="00E256CA">
      <w:pPr>
        <w:pStyle w:val="ListParagraph"/>
        <w:jc w:val="both"/>
        <w:rPr>
          <w:noProof/>
          <w:lang w:val="sq-AL"/>
        </w:rPr>
      </w:pPr>
    </w:p>
    <w:p w:rsidR="00197DA4" w:rsidRDefault="00E025BB" w:rsidP="002331E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Vitet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vazhdim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tep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sishm</w:t>
      </w:r>
      <w:r w:rsidR="007D4109">
        <w:rPr>
          <w:noProof/>
          <w:lang w:val="sq-AL"/>
        </w:rPr>
        <w:t>e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vendet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nshkruar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veshjet e Asociimit dhe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veshjet DCFTA me BE-n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– Gjeorgjia, Moldavia, Ukraina. Ato do t</w:t>
      </w:r>
      <w:r w:rsidR="00EA5891">
        <w:rPr>
          <w:noProof/>
          <w:lang w:val="sq-AL"/>
        </w:rPr>
        <w:t>ë</w:t>
      </w:r>
      <w:r w:rsidR="00675DE4">
        <w:rPr>
          <w:noProof/>
          <w:lang w:val="sq-AL"/>
        </w:rPr>
        <w:t xml:space="preserve"> </w:t>
      </w:r>
      <w:r w:rsidR="00DC110D">
        <w:rPr>
          <w:noProof/>
          <w:lang w:val="sq-AL"/>
        </w:rPr>
        <w:t>jen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angazhuara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 reformimin e strukturave dhe regjimeve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operimit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ekonomive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tyre, nd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rkoh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b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jn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rpjekje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rafrimin e marr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dh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nieve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s dhe sistemeve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mbroj</w:t>
      </w:r>
      <w:r w:rsidR="00675DE4">
        <w:rPr>
          <w:noProof/>
          <w:lang w:val="sq-AL"/>
        </w:rPr>
        <w:t>tjes sociale me standardet</w:t>
      </w:r>
      <w:r w:rsidR="00DC110D">
        <w:rPr>
          <w:noProof/>
          <w:lang w:val="sq-AL"/>
        </w:rPr>
        <w:t xml:space="preserve"> e BE-s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brenda periudhash kohore relativisht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shkurtra</w:t>
      </w:r>
      <w:r w:rsidR="007D4109">
        <w:rPr>
          <w:noProof/>
          <w:lang w:val="sq-AL"/>
        </w:rPr>
        <w:t>,</w:t>
      </w:r>
      <w:r w:rsidR="00DC110D">
        <w:rPr>
          <w:noProof/>
          <w:lang w:val="sq-AL"/>
        </w:rPr>
        <w:t xml:space="preserve"> duke u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rballur me potencial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paqart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real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konteksteve lokale, n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thithin me sukses ndryshime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tilla dhe t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 xml:space="preserve"> japin rezultate </w:t>
      </w:r>
      <w:r w:rsidR="007D4109">
        <w:rPr>
          <w:noProof/>
          <w:lang w:val="sq-AL"/>
        </w:rPr>
        <w:t>pozitive</w:t>
      </w:r>
      <w:r w:rsidR="00675DE4">
        <w:rPr>
          <w:noProof/>
          <w:lang w:val="sq-AL"/>
        </w:rPr>
        <w:t xml:space="preserve"> </w:t>
      </w:r>
      <w:r w:rsidR="00DC110D">
        <w:rPr>
          <w:noProof/>
          <w:lang w:val="sq-AL"/>
        </w:rPr>
        <w:t>afatgjata.</w:t>
      </w:r>
      <w:r w:rsidR="00675DE4">
        <w:rPr>
          <w:noProof/>
          <w:lang w:val="sq-AL"/>
        </w:rPr>
        <w:t xml:space="preserve"> </w:t>
      </w:r>
      <w:r w:rsidR="00DC110D">
        <w:rPr>
          <w:noProof/>
          <w:lang w:val="sq-AL"/>
        </w:rPr>
        <w:t>Efektet e k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tyre marr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veshjeve dhe p</w:t>
      </w:r>
      <w:r w:rsidR="00EA5891">
        <w:rPr>
          <w:noProof/>
          <w:lang w:val="sq-AL"/>
        </w:rPr>
        <w:t>ë</w:t>
      </w:r>
      <w:r w:rsidR="00DC110D">
        <w:rPr>
          <w:noProof/>
          <w:lang w:val="sq-AL"/>
        </w:rPr>
        <w:t>rfishirja e sindikatave do t</w:t>
      </w:r>
      <w:r w:rsidR="00EA5891">
        <w:rPr>
          <w:noProof/>
          <w:lang w:val="sq-AL"/>
        </w:rPr>
        <w:t>ë</w:t>
      </w:r>
      <w:r w:rsidR="00675DE4">
        <w:rPr>
          <w:noProof/>
          <w:lang w:val="sq-AL"/>
        </w:rPr>
        <w:t xml:space="preserve"> </w:t>
      </w:r>
      <w:r w:rsidR="002331E3">
        <w:rPr>
          <w:noProof/>
          <w:lang w:val="sq-AL"/>
        </w:rPr>
        <w:t>ndihen shum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rtej kufijve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vendeve, k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shtu q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rishikimi i Politik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 Europiane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Fqinj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duhet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promovoj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arritjet e Europ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 Sociale dhe progresit social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procesin e </w:t>
      </w:r>
      <w:r w:rsidR="00675DE4">
        <w:rPr>
          <w:noProof/>
          <w:lang w:val="sq-AL"/>
        </w:rPr>
        <w:t>zbatimit</w:t>
      </w:r>
      <w:r w:rsidR="002331E3">
        <w:rPr>
          <w:noProof/>
          <w:lang w:val="sq-AL"/>
        </w:rPr>
        <w:t>.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 arritjen e k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tyre q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llimeve, do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e r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sishme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rdorimi i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gjitha mund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sive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disponueshme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mb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shtetur sindikatat n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angazhimin e tyre me procesin e reform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s,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rfshir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rmes kanaleve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marr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veshjeve tregtare me vendet </w:t>
      </w:r>
      <w:r w:rsidR="00675DE4">
        <w:rPr>
          <w:noProof/>
          <w:lang w:val="sq-AL"/>
        </w:rPr>
        <w:t xml:space="preserve">e </w:t>
      </w:r>
      <w:r w:rsidR="002331E3">
        <w:rPr>
          <w:noProof/>
          <w:lang w:val="sq-AL"/>
        </w:rPr>
        <w:t>EFTA</w:t>
      </w:r>
      <w:r w:rsidR="00675DE4">
        <w:rPr>
          <w:noProof/>
          <w:lang w:val="sq-AL"/>
        </w:rPr>
        <w:t>-s</w:t>
      </w:r>
      <w:r w:rsidR="002331E3"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2331E3">
        <w:rPr>
          <w:noProof/>
          <w:lang w:val="sq-AL"/>
        </w:rPr>
        <w:t xml:space="preserve"> maksimalizuar efektet e nismave dhe veprimeve sindikaliste.</w:t>
      </w:r>
    </w:p>
    <w:p w:rsidR="002331E3" w:rsidRPr="002331E3" w:rsidRDefault="002331E3" w:rsidP="002331E3">
      <w:pPr>
        <w:pStyle w:val="ListParagraph"/>
        <w:jc w:val="both"/>
        <w:rPr>
          <w:noProof/>
          <w:lang w:val="sq-AL"/>
        </w:rPr>
      </w:pPr>
    </w:p>
    <w:p w:rsidR="00197DA4" w:rsidRDefault="002331E3" w:rsidP="0075203F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Monitorimi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nga af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dhe kontributi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</w:t>
      </w:r>
      <w:r w:rsidR="002F4CD6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shillit 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s (KiE) dhe, 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 w:rsidR="002F4CD6">
        <w:rPr>
          <w:noProof/>
          <w:lang w:val="sq-AL"/>
        </w:rPr>
        <w:t>anti, n</w:t>
      </w:r>
      <w:r w:rsidR="00EA5891">
        <w:rPr>
          <w:noProof/>
          <w:lang w:val="sq-AL"/>
        </w:rPr>
        <w:t>ë</w:t>
      </w:r>
      <w:r w:rsidR="00675DE4">
        <w:rPr>
          <w:noProof/>
          <w:lang w:val="sq-AL"/>
        </w:rPr>
        <w:t xml:space="preserve"> Kart</w:t>
      </w:r>
      <w:r w:rsidR="00586F80">
        <w:rPr>
          <w:noProof/>
          <w:lang w:val="sq-AL"/>
        </w:rPr>
        <w:t>ë</w:t>
      </w:r>
      <w:r w:rsidR="00675DE4">
        <w:rPr>
          <w:noProof/>
          <w:lang w:val="sq-AL"/>
        </w:rPr>
        <w:t>n</w:t>
      </w:r>
      <w:r w:rsidR="002F4CD6">
        <w:rPr>
          <w:noProof/>
          <w:lang w:val="sq-AL"/>
        </w:rPr>
        <w:t xml:space="preserve"> Social</w:t>
      </w:r>
      <w:r w:rsidR="00675DE4">
        <w:rPr>
          <w:noProof/>
          <w:lang w:val="sq-AL"/>
        </w:rPr>
        <w:t>e</w:t>
      </w:r>
      <w:r w:rsidR="002F4CD6">
        <w:rPr>
          <w:noProof/>
          <w:lang w:val="sq-AL"/>
        </w:rPr>
        <w:t xml:space="preserve"> Europian</w:t>
      </w:r>
      <w:r w:rsidR="00675DE4">
        <w:rPr>
          <w:noProof/>
          <w:lang w:val="sq-AL"/>
        </w:rPr>
        <w:t>e</w:t>
      </w:r>
      <w:r w:rsidR="002F4CD6">
        <w:rPr>
          <w:noProof/>
          <w:lang w:val="sq-AL"/>
        </w:rPr>
        <w:t xml:space="preserve"> (</w:t>
      </w:r>
      <w:r w:rsidR="00675DE4">
        <w:rPr>
          <w:noProof/>
          <w:lang w:val="sq-AL"/>
        </w:rPr>
        <w:t>KSE</w:t>
      </w:r>
      <w:r w:rsidR="002F4CD6">
        <w:rPr>
          <w:noProof/>
          <w:lang w:val="sq-AL"/>
        </w:rPr>
        <w:t xml:space="preserve">) (R) 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burim plot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sues i </w:t>
      </w:r>
      <w:r w:rsidR="00675DE4">
        <w:rPr>
          <w:noProof/>
          <w:lang w:val="sq-AL"/>
        </w:rPr>
        <w:t>ndikimit</w:t>
      </w:r>
      <w:r w:rsidR="002F4CD6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duhet 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rdoret m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me efikasitet, sidomos nga secili an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tar. Ashtu si</w:t>
      </w:r>
      <w:r w:rsidR="00EA5891">
        <w:rPr>
          <w:noProof/>
          <w:lang w:val="sq-AL"/>
        </w:rPr>
        <w:t>ç</w:t>
      </w:r>
      <w:r w:rsidR="002F4CD6"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treguar rastet e kaluara, 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i r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sish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m arritja e nj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bashk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rendimi 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mir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me procedurat dhe opinionet e ILO-s 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r </w:t>
      </w:r>
      <w:r w:rsidR="00EA5891">
        <w:rPr>
          <w:noProof/>
          <w:lang w:val="sq-AL"/>
        </w:rPr>
        <w:t>çë</w:t>
      </w:r>
      <w:r w:rsidR="002F4CD6">
        <w:rPr>
          <w:noProof/>
          <w:lang w:val="sq-AL"/>
        </w:rPr>
        <w:t>shtjet e nj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jta dhe 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rfshirja 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koh</w:t>
      </w:r>
      <w:r w:rsidR="00EA5891">
        <w:rPr>
          <w:noProof/>
          <w:lang w:val="sq-AL"/>
        </w:rPr>
        <w:t>ë</w:t>
      </w:r>
      <w:r w:rsidR="00675DE4">
        <w:rPr>
          <w:noProof/>
          <w:lang w:val="sq-AL"/>
        </w:rPr>
        <w:t xml:space="preserve"> e ETUC-ut</w:t>
      </w:r>
      <w:r w:rsidR="002F4CD6">
        <w:rPr>
          <w:noProof/>
          <w:lang w:val="sq-AL"/>
        </w:rPr>
        <w:t>, ve</w:t>
      </w:r>
      <w:r w:rsidR="00EA5891">
        <w:rPr>
          <w:noProof/>
          <w:lang w:val="sq-AL"/>
        </w:rPr>
        <w:t>ç</w:t>
      </w:r>
      <w:r w:rsidR="002F4CD6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risht 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ankesat kolektive drejtuar KiE/</w:t>
      </w:r>
      <w:r w:rsidR="00675DE4">
        <w:rPr>
          <w:noProof/>
          <w:lang w:val="sq-AL"/>
        </w:rPr>
        <w:t>KSE-s</w:t>
      </w:r>
      <w:r w:rsidR="00586F80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ose </w:t>
      </w:r>
      <w:r w:rsidR="00EA5891">
        <w:rPr>
          <w:noProof/>
          <w:lang w:val="sq-AL"/>
        </w:rPr>
        <w:t>çë</w:t>
      </w:r>
      <w:r w:rsidR="002F4CD6">
        <w:rPr>
          <w:noProof/>
          <w:lang w:val="sq-AL"/>
        </w:rPr>
        <w:t>shtjeve 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d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rguara 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 gjykim n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Gjykat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n Europiane p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2F4CD6">
        <w:rPr>
          <w:noProof/>
          <w:lang w:val="sq-AL"/>
        </w:rPr>
        <w:t xml:space="preserve"> Drejtat e Njeriut.</w:t>
      </w:r>
      <w:r w:rsidR="0075203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r sindikatat, mund 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pritet rritja e r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standardeve 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tyre institucioneve gjat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viteve 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ardhshme, 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cilat p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rfshijn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n, n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>rputhje me zhvillimet n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BE dhe n</w:t>
      </w:r>
      <w:r w:rsidR="00EA5891">
        <w:rPr>
          <w:noProof/>
          <w:lang w:val="sq-AL"/>
        </w:rPr>
        <w:t>ë</w:t>
      </w:r>
      <w:r w:rsidR="0075203F">
        <w:rPr>
          <w:noProof/>
          <w:lang w:val="sq-AL"/>
        </w:rPr>
        <w:t xml:space="preserve"> formacionin e ri Euroaziatik.</w:t>
      </w:r>
    </w:p>
    <w:p w:rsidR="0075203F" w:rsidRPr="0075203F" w:rsidRDefault="0075203F" w:rsidP="0075203F">
      <w:pPr>
        <w:pStyle w:val="ListParagraph"/>
        <w:rPr>
          <w:noProof/>
          <w:lang w:val="sq-AL"/>
        </w:rPr>
      </w:pPr>
    </w:p>
    <w:p w:rsidR="0075203F" w:rsidRDefault="0075203F" w:rsidP="0075203F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Standardet e ILO-s dhe ato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sigurojn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tradicionalisht baz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nevojshme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veprimet 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 sindikaliste,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llim mbrojtjen dhe promovimin 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</w:t>
      </w:r>
      <w:r w:rsidR="007D4109">
        <w:rPr>
          <w:noProof/>
          <w:lang w:val="sq-AL"/>
        </w:rPr>
        <w:t xml:space="preserve"> atyre</w:t>
      </w:r>
      <w:r>
        <w:rPr>
          <w:noProof/>
          <w:lang w:val="sq-AL"/>
        </w:rPr>
        <w:t xml:space="preserve"> sociale p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rmes PERC-u</w:t>
      </w:r>
      <w:r>
        <w:rPr>
          <w:noProof/>
          <w:lang w:val="sq-AL"/>
        </w:rPr>
        <w:t>t,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renditje me ACTRAV dhe Grupin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ILO-s.</w:t>
      </w:r>
    </w:p>
    <w:p w:rsidR="0075203F" w:rsidRPr="0075203F" w:rsidRDefault="0075203F" w:rsidP="0075203F">
      <w:pPr>
        <w:pStyle w:val="ListParagraph"/>
        <w:rPr>
          <w:noProof/>
          <w:lang w:val="sq-AL"/>
        </w:rPr>
      </w:pPr>
    </w:p>
    <w:p w:rsidR="0075203F" w:rsidRPr="0075203F" w:rsidRDefault="0075203F" w:rsidP="0075203F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Roli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IFI-t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n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rritur ndjesh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m dhe po ushtron </w:t>
      </w:r>
      <w:r w:rsidR="00ED380D">
        <w:rPr>
          <w:noProof/>
          <w:lang w:val="sq-AL"/>
        </w:rPr>
        <w:t>ndikim</w:t>
      </w:r>
      <w:r>
        <w:rPr>
          <w:noProof/>
          <w:lang w:val="sq-AL"/>
        </w:rPr>
        <w:t xml:space="preserve"> form</w:t>
      </w:r>
      <w:r w:rsidR="00586F80">
        <w:rPr>
          <w:noProof/>
          <w:lang w:val="sq-AL"/>
        </w:rPr>
        <w:t>ë</w:t>
      </w:r>
      <w:r w:rsidR="00ED380D">
        <w:rPr>
          <w:noProof/>
          <w:lang w:val="sq-AL"/>
        </w:rPr>
        <w:t>sues</w:t>
      </w:r>
      <w:r>
        <w:rPr>
          <w:noProof/>
          <w:lang w:val="sq-AL"/>
        </w:rPr>
        <w:t xml:space="preserve"> mbi projektimin dhe </w:t>
      </w:r>
      <w:r w:rsidR="00ED380D">
        <w:rPr>
          <w:noProof/>
          <w:lang w:val="sq-AL"/>
        </w:rPr>
        <w:t>zbatimin</w:t>
      </w:r>
      <w:r>
        <w:rPr>
          <w:noProof/>
          <w:lang w:val="sq-AL"/>
        </w:rPr>
        <w:t xml:space="preserve"> e politikave antikriz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.</w:t>
      </w:r>
      <w:r w:rsidR="00CB2862">
        <w:rPr>
          <w:noProof/>
          <w:lang w:val="sq-AL"/>
        </w:rPr>
        <w:t xml:space="preserve"> Vet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m ose bashk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risht me BE-n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, ato kan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 xml:space="preserve"> impo</w:t>
      </w:r>
      <w:r w:rsidR="00CB2862">
        <w:rPr>
          <w:noProof/>
          <w:lang w:val="sq-AL"/>
        </w:rPr>
        <w:t>nuar vendosjen e programeve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ndryshme “stabilizimi” dhe “sh</w:t>
      </w:r>
      <w:r w:rsidR="003E6A1F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3E6A1F">
        <w:rPr>
          <w:noProof/>
          <w:lang w:val="sq-AL"/>
        </w:rPr>
        <w:t>timi”, kryesisht n</w:t>
      </w:r>
      <w:r w:rsidR="00EA5891">
        <w:rPr>
          <w:noProof/>
          <w:lang w:val="sq-AL"/>
        </w:rPr>
        <w:t>ë</w:t>
      </w:r>
      <w:r w:rsidR="003E6A1F">
        <w:rPr>
          <w:noProof/>
          <w:lang w:val="sq-AL"/>
        </w:rPr>
        <w:t xml:space="preserve"> promovimin</w:t>
      </w:r>
      <w:r w:rsidR="00CB2862">
        <w:rPr>
          <w:noProof/>
          <w:lang w:val="sq-AL"/>
        </w:rPr>
        <w:t xml:space="preserve"> e qasjes s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“masave shtr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nguese” ose duke mb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shtetur hapur elitat lokale qeveris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se p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zbatuar politika </w:t>
      </w:r>
      <w:r w:rsidR="00ED380D">
        <w:rPr>
          <w:noProof/>
          <w:lang w:val="sq-AL"/>
        </w:rPr>
        <w:t xml:space="preserve">të tilla </w:t>
      </w:r>
      <w:r w:rsidR="00CB2862">
        <w:rPr>
          <w:noProof/>
          <w:lang w:val="sq-AL"/>
        </w:rPr>
        <w:t>edhe 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situata relativisht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mira. Rezultatet, zakonisht, kan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 w:rsidR="003E6A1F">
        <w:rPr>
          <w:noProof/>
          <w:lang w:val="sq-AL"/>
        </w:rPr>
        <w:t>uar n</w:t>
      </w:r>
      <w:r w:rsidR="00EA5891">
        <w:rPr>
          <w:noProof/>
          <w:lang w:val="sq-AL"/>
        </w:rPr>
        <w:t>ë</w:t>
      </w:r>
      <w:r w:rsidR="003E6A1F">
        <w:rPr>
          <w:noProof/>
          <w:lang w:val="sq-AL"/>
        </w:rPr>
        <w:t xml:space="preserve"> decentralizim dhe cungim</w:t>
      </w:r>
      <w:r w:rsidR="00CB2862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sistemeve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kontratave kolektive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s, duke d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mtuar sistemet e pun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simit dhe mbrojtjes sociale, 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cilat nga ana e tyre kan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thelluar pabarazit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, kan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 rritur nivelet e papun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, varf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 w:rsidR="007D4109">
        <w:rPr>
          <w:noProof/>
          <w:lang w:val="sq-AL"/>
        </w:rPr>
        <w:t xml:space="preserve"> dhe</w:t>
      </w:r>
      <w:r w:rsidR="00CB2862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B2862">
        <w:rPr>
          <w:noProof/>
          <w:lang w:val="sq-AL"/>
        </w:rPr>
        <w:t xml:space="preserve">rjashtimit social. </w:t>
      </w:r>
      <w:r w:rsidR="00ED380D">
        <w:rPr>
          <w:noProof/>
          <w:lang w:val="sq-AL"/>
        </w:rPr>
        <w:t>PERC-u</w:t>
      </w:r>
      <w:r w:rsidR="00B6537A">
        <w:rPr>
          <w:noProof/>
          <w:lang w:val="sq-AL"/>
        </w:rPr>
        <w:t xml:space="preserve"> dhe zyrat rajonale duhet t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 xml:space="preserve"> vazhdojn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 xml:space="preserve"> komunikimin dhe veprimet e p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ta me zyr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n e ITUC-ut</w:t>
      </w:r>
      <w:r w:rsidR="00B6537A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 xml:space="preserve"> Uashington, p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 xml:space="preserve"> siguruar informacion maksimal dhe </w:t>
      </w:r>
      <w:r w:rsidR="00ED380D">
        <w:rPr>
          <w:noProof/>
          <w:lang w:val="sq-AL"/>
        </w:rPr>
        <w:t>mund</w:t>
      </w:r>
      <w:r w:rsidR="00586F80">
        <w:rPr>
          <w:noProof/>
          <w:lang w:val="sq-AL"/>
        </w:rPr>
        <w:t>ë</w:t>
      </w:r>
      <w:r w:rsidR="00ED380D">
        <w:rPr>
          <w:noProof/>
          <w:lang w:val="sq-AL"/>
        </w:rPr>
        <w:t>si t</w:t>
      </w:r>
      <w:r w:rsidR="00586F80">
        <w:rPr>
          <w:noProof/>
          <w:lang w:val="sq-AL"/>
        </w:rPr>
        <w:t>ë</w:t>
      </w:r>
      <w:r w:rsidR="00ED380D">
        <w:rPr>
          <w:noProof/>
          <w:lang w:val="sq-AL"/>
        </w:rPr>
        <w:t xml:space="preserve"> duhura</w:t>
      </w:r>
      <w:r w:rsidR="00B6537A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r reagimet e sindikatave an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tare ndaj k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>tyre sfidave n</w:t>
      </w:r>
      <w:r w:rsidR="00EA5891">
        <w:rPr>
          <w:noProof/>
          <w:lang w:val="sq-AL"/>
        </w:rPr>
        <w:t>ë</w:t>
      </w:r>
      <w:r w:rsidR="00B6537A">
        <w:rPr>
          <w:noProof/>
          <w:lang w:val="sq-AL"/>
        </w:rPr>
        <w:t xml:space="preserve"> vendet e tyre.</w:t>
      </w:r>
    </w:p>
    <w:p w:rsidR="00F51B1B" w:rsidRPr="00FE232F" w:rsidRDefault="00F51B1B" w:rsidP="00F51B1B">
      <w:pPr>
        <w:pStyle w:val="ListParagraph"/>
        <w:rPr>
          <w:noProof/>
          <w:lang w:val="sq-AL"/>
        </w:rPr>
      </w:pPr>
    </w:p>
    <w:p w:rsidR="00B1197D" w:rsidRDefault="003E6A1F" w:rsidP="009416ED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Sindikatat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nevoj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 xml:space="preserve"> </w:t>
      </w:r>
      <w:r w:rsidR="00661ADB">
        <w:rPr>
          <w:noProof/>
          <w:lang w:val="sq-AL"/>
        </w:rPr>
        <w:t>kalojn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komunikim m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efikas dhe angazhim proaktiv me shoq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rin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gj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, me q</w:t>
      </w:r>
      <w:r w:rsidR="00586F80">
        <w:rPr>
          <w:noProof/>
          <w:lang w:val="sq-AL"/>
        </w:rPr>
        <w:t>ë</w:t>
      </w:r>
      <w:r w:rsidR="00661ADB">
        <w:rPr>
          <w:noProof/>
          <w:lang w:val="sq-AL"/>
        </w:rPr>
        <w:t>llim q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s</w:t>
      </w:r>
      <w:r w:rsidR="00661ADB">
        <w:rPr>
          <w:noProof/>
          <w:lang w:val="sq-AL"/>
        </w:rPr>
        <w:t>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dhe drejtojn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debate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informuara publike p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r </w:t>
      </w:r>
      <w:r w:rsidR="00EA5891">
        <w:rPr>
          <w:noProof/>
          <w:lang w:val="sq-AL"/>
        </w:rPr>
        <w:t>çë</w:t>
      </w:r>
      <w:r w:rsidR="00661ADB">
        <w:rPr>
          <w:noProof/>
          <w:lang w:val="sq-AL"/>
        </w:rPr>
        <w:t>shje strategjike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zhvillimit ekonomik, politikave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s dhe sociale. Ato duhet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parandalojn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nismat e institucioneve/organizatave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jashtme apo nd</w:t>
      </w:r>
      <w:r w:rsidR="00EA5891">
        <w:rPr>
          <w:noProof/>
          <w:lang w:val="sq-AL"/>
        </w:rPr>
        <w:t>ë</w:t>
      </w:r>
      <w:r w:rsidR="007D4109">
        <w:rPr>
          <w:noProof/>
          <w:lang w:val="sq-AL"/>
        </w:rPr>
        <w:t xml:space="preserve">rhyrjet </w:t>
      </w:r>
      <w:r w:rsidR="00661ADB">
        <w:rPr>
          <w:noProof/>
          <w:lang w:val="sq-AL"/>
        </w:rPr>
        <w:t xml:space="preserve"> ekstreme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politikave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brendshme dhe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parandalojn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agjendat e tyre politike t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fitojn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mb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shtetje dominuese 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ri, ve</w:t>
      </w:r>
      <w:r w:rsidR="00EA5891">
        <w:rPr>
          <w:noProof/>
          <w:lang w:val="sq-AL"/>
        </w:rPr>
        <w:t>ç</w:t>
      </w:r>
      <w:r w:rsidR="00661ADB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risht tek pun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 w:rsidR="00661ADB">
        <w:rPr>
          <w:noProof/>
          <w:lang w:val="sq-AL"/>
        </w:rPr>
        <w:t xml:space="preserve">t. </w:t>
      </w:r>
      <w:r w:rsidR="009416ED">
        <w:rPr>
          <w:noProof/>
          <w:lang w:val="sq-AL"/>
        </w:rPr>
        <w:t xml:space="preserve">Ky angazhim proaktiv 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 xml:space="preserve"> i r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sish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m, minimumi, n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 xml:space="preserve"> dy aspekte, t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 xml:space="preserve"> cilat jan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 xml:space="preserve"> q</w:t>
      </w:r>
      <w:r w:rsidR="007D4109">
        <w:rPr>
          <w:noProof/>
          <w:lang w:val="sq-AL"/>
        </w:rPr>
        <w:t>e</w:t>
      </w:r>
      <w:r w:rsidR="009416ED">
        <w:rPr>
          <w:noProof/>
          <w:lang w:val="sq-AL"/>
        </w:rPr>
        <w:t>ndrore p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r politk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>n e sindikatave n</w:t>
      </w:r>
      <w:r w:rsidR="00EA5891">
        <w:rPr>
          <w:noProof/>
          <w:lang w:val="sq-AL"/>
        </w:rPr>
        <w:t>ë</w:t>
      </w:r>
      <w:r w:rsidR="009416ED">
        <w:rPr>
          <w:noProof/>
          <w:lang w:val="sq-AL"/>
        </w:rPr>
        <w:t xml:space="preserve"> vitet e ardhshme:</w:t>
      </w:r>
    </w:p>
    <w:p w:rsidR="009416ED" w:rsidRPr="009416ED" w:rsidRDefault="009416ED" w:rsidP="009416ED">
      <w:pPr>
        <w:pStyle w:val="ListParagraph"/>
        <w:rPr>
          <w:noProof/>
          <w:lang w:val="sq-AL"/>
        </w:rPr>
      </w:pPr>
    </w:p>
    <w:p w:rsidR="009416ED" w:rsidRPr="009416ED" w:rsidRDefault="009416ED" w:rsidP="009416ED">
      <w:pPr>
        <w:pStyle w:val="ListParagraph"/>
        <w:jc w:val="both"/>
        <w:rPr>
          <w:noProof/>
          <w:lang w:val="sq-AL"/>
        </w:rPr>
      </w:pPr>
    </w:p>
    <w:p w:rsidR="009416ED" w:rsidRDefault="009416ED" w:rsidP="00B1197D">
      <w:pPr>
        <w:pStyle w:val="ListParagraph"/>
        <w:numPr>
          <w:ilvl w:val="0"/>
          <w:numId w:val="4"/>
        </w:numPr>
        <w:jc w:val="both"/>
        <w:rPr>
          <w:noProof/>
          <w:lang w:val="sq-AL"/>
        </w:rPr>
      </w:pPr>
      <w:r>
        <w:rPr>
          <w:noProof/>
          <w:lang w:val="sq-AL"/>
        </w:rPr>
        <w:t>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pari, sigurimi i kornizave racionale p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r ligj</w:t>
      </w:r>
      <w:r w:rsidR="00586F80">
        <w:rPr>
          <w:noProof/>
          <w:lang w:val="sq-AL"/>
        </w:rPr>
        <w:t>ë</w:t>
      </w:r>
      <w:r w:rsidR="00ED380D">
        <w:rPr>
          <w:noProof/>
          <w:lang w:val="sq-AL"/>
        </w:rPr>
        <w:t>rimin publik</w:t>
      </w:r>
      <w:r>
        <w:rPr>
          <w:noProof/>
          <w:lang w:val="sq-AL"/>
        </w:rPr>
        <w:t>, duke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shtetur vlera dhe aktivitete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promovojn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demokraci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transparenc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rgjegj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 dhe drejt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rore dhe parandalojn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ato sociale ose “interesat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torit”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dhunohen dhe mobilizohen nga interesa ekstreme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ri.</w:t>
      </w:r>
    </w:p>
    <w:p w:rsidR="009416ED" w:rsidRDefault="009416ED" w:rsidP="00B1197D">
      <w:pPr>
        <w:pStyle w:val="ListParagraph"/>
        <w:numPr>
          <w:ilvl w:val="0"/>
          <w:numId w:val="4"/>
        </w:numPr>
        <w:jc w:val="both"/>
        <w:rPr>
          <w:noProof/>
          <w:lang w:val="sq-AL"/>
        </w:rPr>
      </w:pPr>
      <w:r>
        <w:rPr>
          <w:noProof/>
          <w:lang w:val="sq-AL"/>
        </w:rPr>
        <w:t>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dyti, krijimi i hap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nevojat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rkuar ide jasht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kornizave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menduarit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imponuara nga “</w:t>
      </w:r>
      <w:r w:rsidR="00B072E7">
        <w:rPr>
          <w:noProof/>
          <w:lang w:val="sq-AL"/>
        </w:rPr>
        <w:t>rendi qeveris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s n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 xml:space="preserve"> pushtet</w:t>
      </w:r>
      <w:r>
        <w:rPr>
          <w:noProof/>
          <w:lang w:val="sq-AL"/>
        </w:rPr>
        <w:t xml:space="preserve">” dhe </w:t>
      </w:r>
      <w:r w:rsidR="00B072E7">
        <w:rPr>
          <w:noProof/>
          <w:lang w:val="sq-AL"/>
        </w:rPr>
        <w:t>afrimi gradualisht i tyre drejt trajektoreve alternative t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 xml:space="preserve"> politik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s sindikaliste, duke hapur rrug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n e an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simit n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 xml:space="preserve"> sindikat</w:t>
      </w:r>
      <w:r w:rsidR="00EA5891">
        <w:rPr>
          <w:noProof/>
          <w:lang w:val="sq-AL"/>
        </w:rPr>
        <w:t>ë</w:t>
      </w:r>
      <w:r w:rsidR="00B072E7">
        <w:rPr>
          <w:noProof/>
          <w:lang w:val="sq-AL"/>
        </w:rPr>
        <w:t>.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495C16" w:rsidRPr="00FE232F" w:rsidRDefault="00B072E7" w:rsidP="008F6EE5">
      <w:pPr>
        <w:pStyle w:val="ListParagraph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Fushat prioritare p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r orientim dhe veprim t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politikave t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sindikat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>s gjat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periudh</w:t>
      </w:r>
      <w:r w:rsidR="00EA5891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s   </w:t>
      </w:r>
      <w:r w:rsidR="00495C16" w:rsidRPr="00FE232F">
        <w:rPr>
          <w:b/>
          <w:noProof/>
          <w:lang w:val="sq-AL"/>
        </w:rPr>
        <w:t>2015 - 2019</w:t>
      </w:r>
    </w:p>
    <w:p w:rsidR="00495C16" w:rsidRPr="00FE232F" w:rsidRDefault="00495C16" w:rsidP="008F6EE5">
      <w:pPr>
        <w:pStyle w:val="ListParagraph"/>
        <w:jc w:val="both"/>
        <w:rPr>
          <w:noProof/>
          <w:lang w:val="sq-AL"/>
        </w:rPr>
      </w:pPr>
    </w:p>
    <w:p w:rsidR="00B072E7" w:rsidRDefault="00B072E7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Vitet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vazhdim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hen vite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ardhmen e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shanseve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saj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globalizuar dhe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pol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she.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ndjekje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tyre objektivave, jan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hartuar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 projektesh </w:t>
      </w:r>
      <w:r w:rsidR="007E2BAB">
        <w:rPr>
          <w:noProof/>
          <w:lang w:val="sq-AL"/>
        </w:rPr>
        <w:t>me “dizajn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mrekulluesh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m” n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nivele rajonale dhe n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nrajonale. Rezultatet e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rgjithshme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tyre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rpjekjeve do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s</w:t>
      </w:r>
      <w:r w:rsidR="007E2BAB">
        <w:rPr>
          <w:noProof/>
          <w:lang w:val="sq-AL"/>
        </w:rPr>
        <w:t>ojn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profilin/profilet e rajonit dhe nd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rvar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sit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me pjes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n tjet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s, duek plot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suar enigm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n “Nj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apo m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...”.  E vetmja m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siguruar nj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rezultat me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ardhme reale 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rfshirja e shoq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rive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rmes debatit demokratik politik, ku dialogu social form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s</w:t>
      </w:r>
      <w:r w:rsidR="007E2BAB">
        <w:rPr>
          <w:noProof/>
          <w:lang w:val="sq-AL"/>
        </w:rPr>
        <w:t>on ligj</w:t>
      </w:r>
      <w:r w:rsidR="00EA5891">
        <w:rPr>
          <w:noProof/>
          <w:lang w:val="sq-AL"/>
        </w:rPr>
        <w:t>ë</w:t>
      </w:r>
      <w:r w:rsidR="00ED380D">
        <w:rPr>
          <w:noProof/>
          <w:lang w:val="sq-AL"/>
        </w:rPr>
        <w:t>rimin</w:t>
      </w:r>
      <w:r w:rsidR="007E2BA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siguruar se interesat e qytetar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ve dhe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punonj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sve si dhe cil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sia mb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shtet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se e projektit jan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pjes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integrale e struktur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re t</w:t>
      </w:r>
      <w:r w:rsidR="00EA5891">
        <w:rPr>
          <w:noProof/>
          <w:lang w:val="sq-AL"/>
        </w:rPr>
        <w:t>ë</w:t>
      </w:r>
      <w:r w:rsidR="007E2BAB">
        <w:rPr>
          <w:noProof/>
          <w:lang w:val="sq-AL"/>
        </w:rPr>
        <w:t xml:space="preserve"> propozuar.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7E2BAB" w:rsidRDefault="007E2BAB" w:rsidP="005D7F76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Sido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rezultatet, ato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efekt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thell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tek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</w:t>
      </w:r>
      <w:r w:rsidR="00C33038">
        <w:rPr>
          <w:noProof/>
          <w:lang w:val="sq-AL"/>
        </w:rPr>
        <w:t xml:space="preserve"> ato</w:t>
      </w:r>
      <w:r>
        <w:rPr>
          <w:noProof/>
          <w:lang w:val="sq-AL"/>
        </w:rPr>
        <w:t xml:space="preserve"> sociale, </w:t>
      </w:r>
      <w:r w:rsidR="00C33038">
        <w:rPr>
          <w:noProof/>
          <w:lang w:val="sq-AL"/>
        </w:rPr>
        <w:t>sindikalizmi dhe sistemet e mbrojtjes sociale. Rrymat dhe qasjet aktuale ndaj k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tyre fushave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politikave sugjerojn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marxhinalizim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tejsh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m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sindikatave dhe aktor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ve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tjer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joshtet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ror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, madje edhe m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leht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sisht 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kontekstin e synimeve dominuese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politik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tipit “di</w:t>
      </w:r>
      <w:r w:rsidR="006B5762">
        <w:rPr>
          <w:noProof/>
          <w:lang w:val="sq-AL"/>
        </w:rPr>
        <w:t>zajn i</w:t>
      </w:r>
      <w:r w:rsidR="00C33038">
        <w:rPr>
          <w:noProof/>
          <w:lang w:val="sq-AL"/>
        </w:rPr>
        <w:t xml:space="preserve"> mrekulluesh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m”.  Dialogjet e v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rteta sociale dhe civile mund ta gjejn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veten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“etiketuara” me sukses 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periferin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e procesit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politikave, nd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rkoh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ruajn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fasad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>n institucionale t</w:t>
      </w:r>
      <w:r w:rsidR="00EA5891">
        <w:rPr>
          <w:noProof/>
          <w:lang w:val="sq-AL"/>
        </w:rPr>
        <w:t>ë</w:t>
      </w:r>
      <w:r w:rsidR="00C33038">
        <w:rPr>
          <w:noProof/>
          <w:lang w:val="sq-AL"/>
        </w:rPr>
        <w:t xml:space="preserve"> partneritetit dhe </w:t>
      </w:r>
      <w:r w:rsidR="00F93BEA">
        <w:rPr>
          <w:noProof/>
          <w:lang w:val="sq-AL"/>
        </w:rPr>
        <w:t>retorik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s e ritualit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rfshirjes demokratike. </w:t>
      </w:r>
      <w:r w:rsidR="005F3908">
        <w:rPr>
          <w:noProof/>
          <w:lang w:val="sq-AL"/>
        </w:rPr>
        <w:t>Pritet</w:t>
      </w:r>
      <w:r w:rsidR="00F93BEA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to presione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rgjithshme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prodhonin efekte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ndryshme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vende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ndryshme, kryesisht duke goditur m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fort l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vizje m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dob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ta sindikaliste, duke </w:t>
      </w:r>
      <w:r w:rsidR="00EA5891">
        <w:rPr>
          <w:noProof/>
          <w:lang w:val="sq-AL"/>
        </w:rPr>
        <w:t>ç</w:t>
      </w:r>
      <w:r w:rsidR="00F93BEA">
        <w:rPr>
          <w:noProof/>
          <w:lang w:val="sq-AL"/>
        </w:rPr>
        <w:t>uar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diferencim m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thell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social brenda shoq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rive dhe nd</w:t>
      </w:r>
      <w:r w:rsidR="00EA5891">
        <w:rPr>
          <w:noProof/>
          <w:lang w:val="sq-AL"/>
        </w:rPr>
        <w:t>ë</w:t>
      </w:r>
      <w:r w:rsidR="006B5762">
        <w:rPr>
          <w:noProof/>
          <w:lang w:val="sq-AL"/>
        </w:rPr>
        <w:t>r</w:t>
      </w:r>
      <w:r w:rsidR="00F93BEA">
        <w:rPr>
          <w:noProof/>
          <w:lang w:val="sq-AL"/>
        </w:rPr>
        <w:t>mjet sindikatave nga rajone dhe vende t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ndryshme. PERC-u</w:t>
      </w:r>
      <w:r w:rsidR="00F93BEA">
        <w:rPr>
          <w:noProof/>
          <w:lang w:val="sq-AL"/>
        </w:rPr>
        <w:t>t i duhet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gatishm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ri dhe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rgatitet 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rballuar sfid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n dhe 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forcuar solidaritetin dhe unitetin e veprimit ashtu si</w:t>
      </w:r>
      <w:r w:rsidR="00EA5891">
        <w:rPr>
          <w:noProof/>
          <w:lang w:val="sq-AL"/>
        </w:rPr>
        <w:t>ç</w:t>
      </w:r>
      <w:r w:rsidR="00F93BEA">
        <w:rPr>
          <w:noProof/>
          <w:lang w:val="sq-AL"/>
        </w:rPr>
        <w:t xml:space="preserve"> duhet.</w:t>
      </w:r>
    </w:p>
    <w:p w:rsidR="007E2BAB" w:rsidRPr="007E2BAB" w:rsidRDefault="007E2BAB" w:rsidP="007E2BAB">
      <w:pPr>
        <w:pStyle w:val="ListParagraph"/>
        <w:rPr>
          <w:noProof/>
          <w:lang w:val="sq-AL"/>
        </w:rPr>
      </w:pP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F93BEA" w:rsidRDefault="005F3908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Veprimet e PERC-u</w:t>
      </w:r>
      <w:r w:rsidR="00F93BEA">
        <w:rPr>
          <w:noProof/>
          <w:lang w:val="sq-AL"/>
        </w:rPr>
        <w:t>t gjat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periudh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mandatit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ardhsh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m do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vazhdoj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mjedis, i cili karakterizohet nga </w:t>
      </w:r>
      <w:r w:rsidR="00F93BEA">
        <w:rPr>
          <w:i/>
          <w:noProof/>
          <w:lang w:val="sq-AL"/>
        </w:rPr>
        <w:t>paq</w:t>
      </w:r>
      <w:r w:rsidR="00EA5891">
        <w:rPr>
          <w:i/>
          <w:noProof/>
          <w:lang w:val="sq-AL"/>
        </w:rPr>
        <w:t>ë</w:t>
      </w:r>
      <w:r w:rsidR="00F93BEA">
        <w:rPr>
          <w:i/>
          <w:noProof/>
          <w:lang w:val="sq-AL"/>
        </w:rPr>
        <w:t>ndrueshm</w:t>
      </w:r>
      <w:r w:rsidR="00EA5891">
        <w:rPr>
          <w:i/>
          <w:noProof/>
          <w:lang w:val="sq-AL"/>
        </w:rPr>
        <w:t>ë</w:t>
      </w:r>
      <w:r w:rsidR="00F93BEA">
        <w:rPr>
          <w:i/>
          <w:noProof/>
          <w:lang w:val="sq-AL"/>
        </w:rPr>
        <w:t>ria</w:t>
      </w:r>
      <w:r w:rsidR="00F93BEA">
        <w:rPr>
          <w:noProof/>
          <w:lang w:val="sq-AL"/>
        </w:rPr>
        <w:t xml:space="preserve"> dhe </w:t>
      </w:r>
      <w:r w:rsidR="00F93BEA" w:rsidRPr="00F93BEA">
        <w:rPr>
          <w:i/>
          <w:noProof/>
          <w:lang w:val="sq-AL"/>
        </w:rPr>
        <w:t>pasiguria</w:t>
      </w:r>
      <w:r w:rsidR="00F93BEA">
        <w:rPr>
          <w:noProof/>
          <w:lang w:val="sq-AL"/>
        </w:rPr>
        <w:t>.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jt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n koh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, ndrysh</w:t>
      </w:r>
      <w:r w:rsidR="006B5762">
        <w:rPr>
          <w:noProof/>
          <w:lang w:val="sq-AL"/>
        </w:rPr>
        <w:t>i</w:t>
      </w:r>
      <w:r w:rsidR="00F93BEA">
        <w:rPr>
          <w:noProof/>
          <w:lang w:val="sq-AL"/>
        </w:rPr>
        <w:t>me themelore 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ri prodhojn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dinamika t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reja, krijojn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 xml:space="preserve"> hap</w:t>
      </w:r>
      <w:r w:rsidR="00EA5891">
        <w:rPr>
          <w:noProof/>
          <w:lang w:val="sq-AL"/>
        </w:rPr>
        <w:t>ë</w:t>
      </w:r>
      <w:r w:rsidR="00F93BEA">
        <w:rPr>
          <w:noProof/>
          <w:lang w:val="sq-AL"/>
        </w:rPr>
        <w:t>si</w:t>
      </w:r>
      <w:r w:rsidR="00C138EF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n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ide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reja dhe ofrojn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mund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si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reja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komunikimin me njer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zit dhe aktivizimin e tyre. Sindikatat, pa kursyer asnj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rpjekje, duhet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rdorin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gjitha aft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sit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identifikimin e ndryshimeve dhe zhvillimeve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tilla,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grumbullojn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energjin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e re dhe ta kanalizojn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at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drejt zgjidhjeve krijuese dhe t</w:t>
      </w:r>
      <w:r w:rsidR="00EA5891">
        <w:rPr>
          <w:noProof/>
          <w:lang w:val="sq-AL"/>
        </w:rPr>
        <w:t>ë</w:t>
      </w:r>
      <w:r w:rsidR="006B5762">
        <w:rPr>
          <w:noProof/>
          <w:lang w:val="sq-AL"/>
        </w:rPr>
        <w:t xml:space="preserve"> q</w:t>
      </w:r>
      <w:r w:rsidR="006B5762">
        <w:rPr>
          <w:rFonts w:cstheme="minorHAnsi"/>
          <w:noProof/>
          <w:lang w:val="sq-AL"/>
        </w:rPr>
        <w:t>ë</w:t>
      </w:r>
      <w:r w:rsidR="006B5762">
        <w:rPr>
          <w:noProof/>
          <w:lang w:val="sq-AL"/>
        </w:rPr>
        <w:t>ndrueshme</w:t>
      </w:r>
      <w:r w:rsidR="00C138EF">
        <w:rPr>
          <w:noProof/>
          <w:lang w:val="sq-AL"/>
        </w:rPr>
        <w:t>.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rs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ri, organizatat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kontekste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ndryshme mund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rballen me forma mjaft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ndryshme ndryshimi. Nuk do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nevoja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zgjidhje  m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rfshir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se dhe nism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pasqyrimin e nd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rvar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gjithnj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rritje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sfidave si dhe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kombinuar dimensionet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nivel komb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tar me ato nd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tar.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pik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PERC-u</w:t>
      </w:r>
      <w:r w:rsidR="00C138EF">
        <w:rPr>
          <w:noProof/>
          <w:lang w:val="sq-AL"/>
        </w:rPr>
        <w:t xml:space="preserve"> mund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siguroj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platform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dobishme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ruajtur rrjedh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n efikase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informacionit dhe komunikimit, diskutimet profesionale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politikave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formate 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ndryshme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se n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>rputhje me interesat e ndryshueshme dhe mb</w:t>
      </w:r>
      <w:r w:rsidR="00EA5891">
        <w:rPr>
          <w:noProof/>
          <w:lang w:val="sq-AL"/>
        </w:rPr>
        <w:t>ë</w:t>
      </w:r>
      <w:r w:rsidR="00C138EF">
        <w:rPr>
          <w:noProof/>
          <w:lang w:val="sq-AL"/>
        </w:rPr>
        <w:t xml:space="preserve">shtetjes </w:t>
      </w:r>
      <w:r w:rsidR="00F24082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F24082">
        <w:rPr>
          <w:noProof/>
          <w:lang w:val="sq-AL"/>
        </w:rPr>
        <w:t>r implementimin e nismave dhe veprimeve.</w:t>
      </w:r>
    </w:p>
    <w:p w:rsidR="00484340" w:rsidRPr="00FE232F" w:rsidRDefault="00484340" w:rsidP="00484340">
      <w:pPr>
        <w:pStyle w:val="ListParagraph"/>
        <w:rPr>
          <w:noProof/>
          <w:lang w:val="sq-AL"/>
        </w:rPr>
      </w:pPr>
    </w:p>
    <w:p w:rsidR="00F24082" w:rsidRDefault="00F24082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arritjen e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tyre q</w:t>
      </w:r>
      <w:r w:rsidR="00EA5891">
        <w:rPr>
          <w:noProof/>
          <w:lang w:val="sq-AL"/>
        </w:rPr>
        <w:t>ë</w:t>
      </w:r>
      <w:r w:rsidR="003B7677">
        <w:rPr>
          <w:noProof/>
          <w:lang w:val="sq-AL"/>
        </w:rPr>
        <w:t xml:space="preserve">llimeve, propozohen fushat e </w:t>
      </w:r>
      <w:r>
        <w:rPr>
          <w:noProof/>
          <w:lang w:val="sq-AL"/>
        </w:rPr>
        <w:t>politikave prioritare,</w:t>
      </w:r>
      <w:r w:rsidR="003B7677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B7677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3B7677">
        <w:rPr>
          <w:noProof/>
          <w:lang w:val="sq-AL"/>
        </w:rPr>
        <w:t>poshtme,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drejtuar aktivitetet e PERC-u</w:t>
      </w:r>
      <w:r>
        <w:rPr>
          <w:noProof/>
          <w:lang w:val="sq-AL"/>
        </w:rPr>
        <w:t>t gjat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periudh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2015 – 2019”</w:t>
      </w:r>
    </w:p>
    <w:p w:rsidR="00F24082" w:rsidRPr="00F24082" w:rsidRDefault="00F24082" w:rsidP="00F24082">
      <w:pPr>
        <w:pStyle w:val="ListParagraph"/>
        <w:rPr>
          <w:noProof/>
          <w:lang w:val="sq-AL"/>
        </w:rPr>
      </w:pPr>
    </w:p>
    <w:p w:rsidR="00484340" w:rsidRPr="00FE232F" w:rsidRDefault="00484340" w:rsidP="00484340">
      <w:pPr>
        <w:pStyle w:val="ListParagraph"/>
        <w:rPr>
          <w:noProof/>
          <w:lang w:val="sq-AL"/>
        </w:rPr>
      </w:pPr>
    </w:p>
    <w:p w:rsidR="00197DA4" w:rsidRDefault="00484340" w:rsidP="00FF5CFC">
      <w:pPr>
        <w:pStyle w:val="ListParagraph"/>
        <w:numPr>
          <w:ilvl w:val="0"/>
          <w:numId w:val="14"/>
        </w:numPr>
        <w:jc w:val="both"/>
        <w:rPr>
          <w:b/>
          <w:i/>
          <w:noProof/>
          <w:lang w:val="sq-AL"/>
        </w:rPr>
      </w:pPr>
      <w:r w:rsidRPr="00FE232F">
        <w:rPr>
          <w:b/>
          <w:i/>
          <w:noProof/>
          <w:lang w:val="sq-AL"/>
        </w:rPr>
        <w:t>P</w:t>
      </w:r>
      <w:r w:rsidR="003B7677">
        <w:rPr>
          <w:b/>
          <w:i/>
          <w:noProof/>
          <w:lang w:val="sq-AL"/>
        </w:rPr>
        <w:t>aqe, demokraci dhe stabilitet n</w:t>
      </w:r>
      <w:r w:rsidR="00EA5891">
        <w:rPr>
          <w:b/>
          <w:i/>
          <w:noProof/>
          <w:lang w:val="sq-AL"/>
        </w:rPr>
        <w:t>ë</w:t>
      </w:r>
      <w:r w:rsidR="003B7677">
        <w:rPr>
          <w:b/>
          <w:i/>
          <w:noProof/>
          <w:lang w:val="sq-AL"/>
        </w:rPr>
        <w:t xml:space="preserve"> Europ</w:t>
      </w:r>
      <w:r w:rsidR="00EA5891">
        <w:rPr>
          <w:b/>
          <w:i/>
          <w:noProof/>
          <w:lang w:val="sq-AL"/>
        </w:rPr>
        <w:t>ë</w:t>
      </w:r>
    </w:p>
    <w:p w:rsidR="003B7677" w:rsidRDefault="003B7677" w:rsidP="00FF5CFC">
      <w:pPr>
        <w:pStyle w:val="ListParagraph"/>
        <w:numPr>
          <w:ilvl w:val="0"/>
          <w:numId w:val="14"/>
        </w:numPr>
        <w:jc w:val="both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Faza tjet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 e kriz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s/transformimit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Europ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: tregu i pun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s, politika sociale dhe sfida e val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 gjithnj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rritje 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migracionit/refugjat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ve</w:t>
      </w:r>
    </w:p>
    <w:p w:rsidR="003B7677" w:rsidRDefault="003B7677" w:rsidP="00FF5CFC">
      <w:pPr>
        <w:pStyle w:val="ListParagraph"/>
        <w:numPr>
          <w:ilvl w:val="0"/>
          <w:numId w:val="14"/>
        </w:numPr>
        <w:jc w:val="both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P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rballimi i pabarazive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rritje dhe 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shum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fishta</w:t>
      </w:r>
    </w:p>
    <w:p w:rsidR="003B7677" w:rsidRDefault="003B7677" w:rsidP="00FF5CFC">
      <w:pPr>
        <w:pStyle w:val="ListParagraph"/>
        <w:numPr>
          <w:ilvl w:val="0"/>
          <w:numId w:val="14"/>
        </w:numPr>
        <w:jc w:val="both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Mbro</w:t>
      </w:r>
      <w:r w:rsidR="006B5762">
        <w:rPr>
          <w:b/>
          <w:i/>
          <w:noProof/>
          <w:lang w:val="sq-AL"/>
        </w:rPr>
        <w:t>j</w:t>
      </w:r>
      <w:r>
        <w:rPr>
          <w:b/>
          <w:i/>
          <w:noProof/>
          <w:lang w:val="sq-AL"/>
        </w:rPr>
        <w:t>tja e 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drejtave 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pun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 dhe sociale, dialog i past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 social dhe kontrat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kolektive – instrumenta </w:t>
      </w:r>
      <w:r w:rsidR="00C41DB2">
        <w:rPr>
          <w:b/>
          <w:i/>
          <w:noProof/>
          <w:lang w:val="sq-AL"/>
        </w:rPr>
        <w:t>p</w:t>
      </w:r>
      <w:r w:rsidR="00EA5891">
        <w:rPr>
          <w:b/>
          <w:i/>
          <w:noProof/>
          <w:lang w:val="sq-AL"/>
        </w:rPr>
        <w:t>ë</w:t>
      </w:r>
      <w:r w:rsidR="00C41DB2">
        <w:rPr>
          <w:b/>
          <w:i/>
          <w:noProof/>
          <w:lang w:val="sq-AL"/>
        </w:rPr>
        <w:t>r korrigjimin e tregut, jo p</w:t>
      </w:r>
      <w:r w:rsidR="00EA5891">
        <w:rPr>
          <w:b/>
          <w:i/>
          <w:noProof/>
          <w:lang w:val="sq-AL"/>
        </w:rPr>
        <w:t>ë</w:t>
      </w:r>
      <w:r w:rsidR="00C41DB2">
        <w:rPr>
          <w:b/>
          <w:i/>
          <w:noProof/>
          <w:lang w:val="sq-AL"/>
        </w:rPr>
        <w:t>r konkurrenc</w:t>
      </w:r>
      <w:r w:rsidR="00EA5891">
        <w:rPr>
          <w:b/>
          <w:i/>
          <w:noProof/>
          <w:lang w:val="sq-AL"/>
        </w:rPr>
        <w:t>ë</w:t>
      </w:r>
    </w:p>
    <w:p w:rsidR="00FF5CFC" w:rsidRDefault="003B7677" w:rsidP="00FF5CFC">
      <w:pPr>
        <w:pStyle w:val="ListParagraph"/>
        <w:numPr>
          <w:ilvl w:val="0"/>
          <w:numId w:val="14"/>
        </w:numPr>
        <w:jc w:val="both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Organizimi – rruga p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 fuqin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 v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rtet</w:t>
      </w:r>
      <w:r w:rsidR="00EA5891">
        <w:rPr>
          <w:b/>
          <w:i/>
          <w:noProof/>
          <w:lang w:val="sq-AL"/>
        </w:rPr>
        <w:t>ë</w:t>
      </w:r>
    </w:p>
    <w:p w:rsidR="003B7677" w:rsidRPr="003B7677" w:rsidRDefault="003B7677" w:rsidP="003B7677">
      <w:pPr>
        <w:pStyle w:val="ListParagraph"/>
        <w:ind w:left="1579"/>
        <w:jc w:val="both"/>
        <w:rPr>
          <w:b/>
          <w:i/>
          <w:noProof/>
          <w:lang w:val="sq-AL"/>
        </w:rPr>
      </w:pPr>
    </w:p>
    <w:p w:rsidR="00AC203F" w:rsidRDefault="00AC203F" w:rsidP="00AC203F">
      <w:pPr>
        <w:pStyle w:val="ListParagraph"/>
        <w:numPr>
          <w:ilvl w:val="0"/>
          <w:numId w:val="16"/>
        </w:numPr>
        <w:jc w:val="both"/>
        <w:rPr>
          <w:b/>
          <w:i/>
          <w:noProof/>
          <w:lang w:val="sq-AL"/>
        </w:rPr>
      </w:pPr>
      <w:r w:rsidRPr="00FE232F">
        <w:rPr>
          <w:b/>
          <w:i/>
          <w:noProof/>
          <w:lang w:val="sq-AL"/>
        </w:rPr>
        <w:t>P</w:t>
      </w:r>
      <w:r>
        <w:rPr>
          <w:b/>
          <w:i/>
          <w:noProof/>
          <w:lang w:val="sq-AL"/>
        </w:rPr>
        <w:t>aqe, demokraci dhe stabilitet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Europ</w:t>
      </w:r>
      <w:r w:rsidR="00EA5891">
        <w:rPr>
          <w:b/>
          <w:i/>
          <w:noProof/>
          <w:lang w:val="sq-AL"/>
        </w:rPr>
        <w:t>ë</w:t>
      </w:r>
    </w:p>
    <w:p w:rsidR="00061240" w:rsidRPr="00FE232F" w:rsidRDefault="00061240" w:rsidP="00061240">
      <w:pPr>
        <w:pStyle w:val="ListParagraph"/>
        <w:ind w:left="1080"/>
        <w:jc w:val="both"/>
        <w:rPr>
          <w:b/>
          <w:noProof/>
          <w:lang w:val="sq-AL"/>
        </w:rPr>
      </w:pPr>
    </w:p>
    <w:p w:rsidR="00AC203F" w:rsidRDefault="00AC203F" w:rsidP="00785608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Reagimi i politi</w:t>
      </w:r>
      <w:r w:rsidR="005F3908">
        <w:rPr>
          <w:noProof/>
          <w:lang w:val="sq-AL"/>
        </w:rPr>
        <w:t>k</w:t>
      </w:r>
      <w:r>
        <w:rPr>
          <w:noProof/>
          <w:lang w:val="sq-AL"/>
        </w:rPr>
        <w:t>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rgjithshme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elitave politike europiane ndaj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ka 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arritjen e rezultate </w:t>
      </w:r>
      <w:r w:rsidR="005F3908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duhura</w:t>
      </w:r>
      <w:r>
        <w:rPr>
          <w:noProof/>
          <w:lang w:val="sq-AL"/>
        </w:rPr>
        <w:t>, duke 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mtuar efektivisht </w:t>
      </w:r>
      <w:r w:rsidR="005F3908">
        <w:rPr>
          <w:noProof/>
          <w:lang w:val="sq-AL"/>
        </w:rPr>
        <w:t>mund</w:t>
      </w:r>
      <w:r w:rsidR="00586F80">
        <w:rPr>
          <w:noProof/>
          <w:lang w:val="sq-AL"/>
        </w:rPr>
        <w:t>ë</w:t>
      </w:r>
      <w:r w:rsidR="005F3908">
        <w:rPr>
          <w:noProof/>
          <w:lang w:val="sq-AL"/>
        </w:rPr>
        <w:t>sit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rim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mbje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tep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madh vendesh, duke prishur kohezionin social dhe integritetin e procesit dhe institucioneve demokratike, dhe duke u hapur rrug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impakteve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rdrejta populiste dhe plot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sisht nacionaliste mbi procesin e politikave. Tensionet dhe ndarjet gjithnj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rritje brenda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rive dhe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rmjet popujve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ndrysh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nuk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kurr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kaq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theksuara </w:t>
      </w:r>
      <w:r w:rsidR="005F3908">
        <w:rPr>
          <w:noProof/>
          <w:lang w:val="sq-AL"/>
        </w:rPr>
        <w:t xml:space="preserve">sa </w:t>
      </w:r>
      <w:r>
        <w:rPr>
          <w:noProof/>
          <w:lang w:val="sq-AL"/>
        </w:rPr>
        <w:t>gjat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periudh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>s pas Luft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Dyt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rore, duke </w:t>
      </w:r>
      <w:r w:rsidR="00D61219">
        <w:rPr>
          <w:noProof/>
          <w:lang w:val="sq-AL"/>
        </w:rPr>
        <w:t>zgjuar ndjenjat e liga t</w:t>
      </w:r>
      <w:r w:rsidR="00EA5891">
        <w:rPr>
          <w:noProof/>
          <w:lang w:val="sq-AL"/>
        </w:rPr>
        <w:t>ë</w:t>
      </w:r>
      <w:r w:rsidR="00D61219"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 w:rsidR="00D61219">
        <w:rPr>
          <w:noProof/>
          <w:lang w:val="sq-AL"/>
        </w:rPr>
        <w:t xml:space="preserve"> kaluar</w:t>
      </w:r>
      <w:r w:rsidR="00EA5891">
        <w:rPr>
          <w:noProof/>
          <w:lang w:val="sq-AL"/>
        </w:rPr>
        <w:t>ë</w:t>
      </w:r>
      <w:r w:rsidR="00D61219">
        <w:rPr>
          <w:noProof/>
          <w:lang w:val="sq-AL"/>
        </w:rPr>
        <w:t>s</w:t>
      </w:r>
      <w:r>
        <w:rPr>
          <w:noProof/>
          <w:lang w:val="sq-AL"/>
        </w:rPr>
        <w:t>.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rrethana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ekstreme,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kan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uar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rfundimisht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pik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n e </w:t>
      </w:r>
      <w:r w:rsidR="005F3908">
        <w:rPr>
          <w:noProof/>
          <w:lang w:val="sq-AL"/>
        </w:rPr>
        <w:t>p</w:t>
      </w:r>
      <w:r w:rsidR="00586F80">
        <w:rPr>
          <w:noProof/>
          <w:lang w:val="sq-AL"/>
        </w:rPr>
        <w:t>ë</w:t>
      </w:r>
      <w:r w:rsidR="005F3908">
        <w:rPr>
          <w:noProof/>
          <w:lang w:val="sq-AL"/>
        </w:rPr>
        <w:t>rballjeve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armatosura </w:t>
      </w:r>
      <w:r w:rsidR="00581321">
        <w:rPr>
          <w:noProof/>
          <w:lang w:val="sq-AL"/>
        </w:rPr>
        <w:t>q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shkaktuar humbjen e jet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mij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ra njer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zve. Performanca e elitave politike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rfshira ka qen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posht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nivelit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sfid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 historike dhe ato kan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demonstruar munges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qart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artit krijues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qeverisjes dhe vizionit strategjik. 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rpjekja 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 nj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ardhme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t, paq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sore dhe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begat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popujve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s, k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rkon qart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gjitha rastet dhe  rrethanat,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6B5762">
        <w:rPr>
          <w:noProof/>
          <w:lang w:val="sq-AL"/>
        </w:rPr>
        <w:t>r</w:t>
      </w:r>
      <w:r w:rsidR="00581321">
        <w:rPr>
          <w:noProof/>
          <w:lang w:val="sq-AL"/>
        </w:rPr>
        <w:t>doren mjetet paq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sore dhe t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negociuara p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 zgjidhjen e konfliktit, pavar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sisht nga shkalla e nd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rlikueshm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 w:rsidR="00581321">
        <w:rPr>
          <w:noProof/>
          <w:lang w:val="sq-AL"/>
        </w:rPr>
        <w:t xml:space="preserve"> sfidave. </w:t>
      </w:r>
    </w:p>
    <w:p w:rsidR="00871715" w:rsidRPr="00FE232F" w:rsidRDefault="00871715" w:rsidP="00A15AF9">
      <w:pPr>
        <w:pStyle w:val="ListParagraph"/>
        <w:jc w:val="both"/>
        <w:rPr>
          <w:noProof/>
          <w:lang w:val="sq-AL"/>
        </w:rPr>
      </w:pPr>
    </w:p>
    <w:p w:rsidR="00061240" w:rsidRPr="006805C1" w:rsidRDefault="006805C1" w:rsidP="006805C1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lastRenderedPageBreak/>
        <w:t>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tep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madh rastesh, vendimet kritike jan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ose/dhe ekzekutuar duke </w:t>
      </w:r>
      <w:r w:rsidR="005F3908">
        <w:rPr>
          <w:noProof/>
          <w:lang w:val="sq-AL"/>
        </w:rPr>
        <w:t>sh</w:t>
      </w: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rfillur vullnetin demokratik t</w:t>
      </w:r>
      <w:r w:rsidR="00EA5891">
        <w:rPr>
          <w:noProof/>
          <w:lang w:val="sq-AL"/>
        </w:rPr>
        <w:t>ë</w:t>
      </w:r>
      <w:r w:rsidR="006B5762">
        <w:rPr>
          <w:noProof/>
          <w:lang w:val="sq-AL"/>
        </w:rPr>
        <w:t xml:space="preserve"> sh</w:t>
      </w:r>
      <w:r w:rsidR="005F3908">
        <w:rPr>
          <w:noProof/>
          <w:lang w:val="sq-AL"/>
        </w:rPr>
        <w:t>t</w:t>
      </w:r>
      <w:r w:rsidR="006B5762">
        <w:rPr>
          <w:noProof/>
          <w:lang w:val="sq-AL"/>
        </w:rPr>
        <w:t>etas</w:t>
      </w:r>
      <w:r>
        <w:rPr>
          <w:noProof/>
          <w:lang w:val="sq-AL"/>
        </w:rPr>
        <w:t>ve ose kund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tij vullneti. Vazhdim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sia e rrymave aktuale zor </w:t>
      </w:r>
      <w:r w:rsidR="005F3908">
        <w:rPr>
          <w:noProof/>
          <w:lang w:val="sq-AL"/>
        </w:rPr>
        <w:t xml:space="preserve">se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on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zhvillimin e dialogut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past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 dhe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ushtrimin efikas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rit” nga ana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ve. Sindikatat duhet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mbajn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fokus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rryma dhe t’i kund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rshtojn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ato n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do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mundshme. PERC-u</w:t>
      </w:r>
      <w:r>
        <w:rPr>
          <w:noProof/>
          <w:lang w:val="sq-AL"/>
        </w:rPr>
        <w:t xml:space="preserve">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siguroj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platform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rshtatshme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 diskutimin e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5F3908">
        <w:rPr>
          <w:noProof/>
          <w:lang w:val="sq-AL"/>
        </w:rPr>
        <w:t>nd</w:t>
      </w:r>
      <w:r w:rsidR="00586F80">
        <w:rPr>
          <w:noProof/>
          <w:lang w:val="sq-AL"/>
        </w:rPr>
        <w:t>ë</w:t>
      </w:r>
      <w:r w:rsidR="005F3908">
        <w:rPr>
          <w:noProof/>
          <w:lang w:val="sq-AL"/>
        </w:rPr>
        <w:t>rlikuara</w:t>
      </w:r>
      <w:r>
        <w:rPr>
          <w:noProof/>
          <w:lang w:val="sq-AL"/>
        </w:rPr>
        <w:t xml:space="preserve"> dhe shpesh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ndjeshme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rfundimisht t’i integrojn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rezultate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debatin politik t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 xml:space="preserve"> ITUC-ut dhe ETUC-ut</w:t>
      </w:r>
      <w:r>
        <w:rPr>
          <w:noProof/>
          <w:lang w:val="sq-AL"/>
        </w:rPr>
        <w:t>.  Aktivitete dhe angazhime specifike:</w:t>
      </w:r>
    </w:p>
    <w:p w:rsidR="00061240" w:rsidRPr="00FE232F" w:rsidRDefault="00061240" w:rsidP="00061240">
      <w:pPr>
        <w:pStyle w:val="ListParagraph"/>
        <w:jc w:val="both"/>
        <w:rPr>
          <w:noProof/>
          <w:lang w:val="sq-AL"/>
        </w:rPr>
      </w:pPr>
    </w:p>
    <w:p w:rsidR="006805C1" w:rsidRDefault="006805C1" w:rsidP="002505F8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Shp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rndarja e informacionit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nga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t, nga burimet europiane/nd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tek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>t e PERC-u</w:t>
      </w:r>
      <w:r>
        <w:rPr>
          <w:noProof/>
          <w:lang w:val="sq-AL"/>
        </w:rPr>
        <w:t>t;</w:t>
      </w:r>
    </w:p>
    <w:p w:rsidR="006805C1" w:rsidRDefault="006805C1" w:rsidP="002505F8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Organizimi i diskutimeve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5F3908">
        <w:rPr>
          <w:noProof/>
          <w:lang w:val="sq-AL"/>
        </w:rPr>
        <w:t>fokusuara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shtjet e propozuara apo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rgatitura </w:t>
      </w:r>
      <w:r w:rsidR="001A5D33">
        <w:rPr>
          <w:noProof/>
          <w:lang w:val="sq-AL"/>
        </w:rPr>
        <w:t>nga nj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tar/grup an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sh i ve</w:t>
      </w:r>
      <w:r w:rsidR="00EA5891">
        <w:rPr>
          <w:noProof/>
          <w:lang w:val="sq-AL"/>
        </w:rPr>
        <w:t>ç</w:t>
      </w:r>
      <w:r w:rsidR="001A5D33">
        <w:rPr>
          <w:noProof/>
          <w:lang w:val="sq-AL"/>
        </w:rPr>
        <w:t>ant</w:t>
      </w:r>
      <w:r w:rsidR="00EA5891">
        <w:rPr>
          <w:noProof/>
          <w:lang w:val="sq-AL"/>
        </w:rPr>
        <w:t>ë</w:t>
      </w:r>
      <w:r w:rsidR="006B5762">
        <w:rPr>
          <w:noProof/>
          <w:lang w:val="sq-AL"/>
        </w:rPr>
        <w:t>, p.sh</w:t>
      </w:r>
      <w:r w:rsidR="001A5D33">
        <w:rPr>
          <w:noProof/>
          <w:lang w:val="sq-AL"/>
        </w:rPr>
        <w:t>. p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r rolin e kapitalit financiar dhe MNC-ve (Kompanive Shum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komb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she) n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5F3908">
        <w:rPr>
          <w:noProof/>
          <w:lang w:val="sq-AL"/>
        </w:rPr>
        <w:t>s</w:t>
      </w:r>
      <w:r w:rsidR="001A5D33">
        <w:rPr>
          <w:noProof/>
          <w:lang w:val="sq-AL"/>
        </w:rPr>
        <w:t>imin e hap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sir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s politike rajonale/komb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>tare dhe orientimeve t</w:t>
      </w:r>
      <w:r w:rsidR="00EA5891">
        <w:rPr>
          <w:noProof/>
          <w:lang w:val="sq-AL"/>
        </w:rPr>
        <w:t>ë</w:t>
      </w:r>
      <w:r w:rsidR="001A5D33">
        <w:rPr>
          <w:noProof/>
          <w:lang w:val="sq-AL"/>
        </w:rPr>
        <w:t xml:space="preserve"> politikave. </w:t>
      </w:r>
    </w:p>
    <w:p w:rsidR="001A5D33" w:rsidRDefault="001A5D33" w:rsidP="002505F8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rkujdesja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 i ekspertiz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rrjeteve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ekspert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ligjor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ekonomik</w:t>
      </w:r>
      <w:r w:rsidR="006B5762">
        <w:rPr>
          <w:rFonts w:cstheme="minorHAnsi"/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rajonet </w:t>
      </w:r>
      <w:r w:rsidR="00BF6374">
        <w:rPr>
          <w:noProof/>
          <w:lang w:val="sq-AL"/>
        </w:rPr>
        <w:t>e EJL-s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 xml:space="preserve"> (Europ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Juglindore) dhe NIS (ish-BS) dhe lidhja e tyre sa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mundur me ngjarjet dhe diskutimet profesionale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zon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BE – ngjarjet ETUI/ETUC si dhe me zhvillimet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UEE (Unioni Ekonomik Euroaziatik).</w:t>
      </w:r>
    </w:p>
    <w:p w:rsidR="002505F8" w:rsidRPr="00FE232F" w:rsidRDefault="002505F8" w:rsidP="002505F8">
      <w:pPr>
        <w:pStyle w:val="ListParagraph"/>
        <w:jc w:val="both"/>
        <w:rPr>
          <w:noProof/>
          <w:lang w:val="sq-AL"/>
        </w:rPr>
      </w:pPr>
    </w:p>
    <w:p w:rsidR="001A5D33" w:rsidRDefault="001A5D33" w:rsidP="001A5D33">
      <w:pPr>
        <w:pStyle w:val="ListParagraph"/>
        <w:numPr>
          <w:ilvl w:val="0"/>
          <w:numId w:val="16"/>
        </w:numPr>
        <w:jc w:val="both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>Faza tjet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 e kriz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s/transformimit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Europ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: tregu i pun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s, politika sociale dhe sfida e val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s gjithnj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e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rritje 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migracionit/refugjat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ve</w:t>
      </w:r>
    </w:p>
    <w:p w:rsidR="00FF5CFC" w:rsidRPr="00FE232F" w:rsidRDefault="00FF5CFC" w:rsidP="00FF5CFC">
      <w:pPr>
        <w:pStyle w:val="ListParagraph"/>
        <w:ind w:left="1080"/>
        <w:jc w:val="both"/>
        <w:rPr>
          <w:b/>
          <w:i/>
          <w:noProof/>
          <w:lang w:val="sq-AL"/>
        </w:rPr>
      </w:pPr>
    </w:p>
    <w:p w:rsidR="001A5D33" w:rsidRDefault="00F83DC0" w:rsidP="008F6EE5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Duke supozuar se nuk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ndonj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“aksident”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madh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rronte plot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sisht rrymat ekonomike aktuale, karakteristikat ky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periudh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ardhshme pritet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“paq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ndrueshm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ria” dhe “pasiguria”. Parashikimet e disponueshme, edhe kur 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hen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shtetur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shenja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caktuara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“rim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mbjes”, sugjerojn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</w:t>
      </w:r>
      <w:r w:rsidR="00FC7304">
        <w:rPr>
          <w:noProof/>
          <w:lang w:val="sq-AL"/>
        </w:rPr>
        <w:t>nj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tjet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 periudh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prej disa vitesh me rritje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ul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t ekonomike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shtr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nguar m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tej nga barra e 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(gjithnj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rritje) e borxheve,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kriz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zgjatur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simit, shpesh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ruar me stanjacion pagash, me nj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sistem m</w:t>
      </w:r>
      <w:r w:rsidR="00BF6374">
        <w:rPr>
          <w:noProof/>
          <w:lang w:val="sq-AL"/>
        </w:rPr>
        <w:t>b</w:t>
      </w:r>
      <w:r w:rsidR="00FC7304">
        <w:rPr>
          <w:noProof/>
          <w:lang w:val="sq-AL"/>
        </w:rPr>
        <w:t>rojtje</w:t>
      </w:r>
      <w:r w:rsidR="006B5762">
        <w:rPr>
          <w:noProof/>
          <w:lang w:val="sq-AL"/>
        </w:rPr>
        <w:t>je</w:t>
      </w:r>
      <w:r w:rsidR="00FC7304">
        <w:rPr>
          <w:noProof/>
          <w:lang w:val="sq-AL"/>
        </w:rPr>
        <w:t xml:space="preserve"> sociale gjithnj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e m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paq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ndruesh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m,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cilat shkaktojn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pabarazi dhe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rjashtim social gjithnj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rritje.  Presioni i val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s masive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migrant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ve/refugjat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ve 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BE dhe reagimet e </w:t>
      </w:r>
      <w:r w:rsidR="00EA5891">
        <w:rPr>
          <w:noProof/>
          <w:lang w:val="sq-AL"/>
        </w:rPr>
        <w:t>ç</w:t>
      </w:r>
      <w:r w:rsidR="00FC7304">
        <w:rPr>
          <w:noProof/>
          <w:lang w:val="sq-AL"/>
        </w:rPr>
        <w:t>rregullta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autoriteteve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ndryshme, tep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 shpesh mjaft cinike dhe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pandjeshme ndaj tragjedis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njer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zore jan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tregues i kapaciteteve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kufizuara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pushtetar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ve aktual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 t’u angazhuar 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zgjidhje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</w:t>
      </w:r>
      <w:r w:rsidR="00FC7304">
        <w:rPr>
          <w:noProof/>
          <w:lang w:val="sq-AL"/>
        </w:rPr>
        <w:t>bashk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ta dhe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marr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rgjegj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si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koordinuara. Politikat e sindikatave duhet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v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l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vizje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potencialin krijues dhe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7143E2">
        <w:rPr>
          <w:noProof/>
          <w:lang w:val="sq-AL"/>
        </w:rPr>
        <w:t>rgatit</w:t>
      </w:r>
      <w:r w:rsidR="00FC7304">
        <w:rPr>
          <w:noProof/>
          <w:lang w:val="sq-AL"/>
        </w:rPr>
        <w:t>en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 t’u b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ball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kombinimeve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ndryshme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sfidave p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rgjat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tyre linjave, t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>rlikuara m</w:t>
      </w:r>
      <w:r w:rsidR="00EA5891">
        <w:rPr>
          <w:noProof/>
          <w:lang w:val="sq-AL"/>
        </w:rPr>
        <w:t>ë</w:t>
      </w:r>
      <w:r w:rsidR="00FC7304">
        <w:rPr>
          <w:noProof/>
          <w:lang w:val="sq-AL"/>
        </w:rPr>
        <w:t xml:space="preserve"> tej </w:t>
      </w:r>
      <w:r w:rsidR="00611C2D">
        <w:rPr>
          <w:noProof/>
          <w:lang w:val="sq-AL"/>
        </w:rPr>
        <w:t>nga variacione dhe konkurrenca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r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sishme kontekstuale 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baz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vendi/n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nrajonale. K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to do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s</w:t>
      </w:r>
      <w:r w:rsidR="00611C2D">
        <w:rPr>
          <w:noProof/>
          <w:lang w:val="sq-AL"/>
        </w:rPr>
        <w:t>ojn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interesat e pun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ve dhe, 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pashmganshme, do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shtyjn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politikat sindikaliste drejt orientimeve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 w:rsidR="00BF6374">
        <w:rPr>
          <w:noProof/>
          <w:lang w:val="sq-AL"/>
        </w:rPr>
        <w:t>anta. PERC-u</w:t>
      </w:r>
      <w:r w:rsidR="00611C2D">
        <w:rPr>
          <w:noProof/>
          <w:lang w:val="sq-AL"/>
        </w:rPr>
        <w:t xml:space="preserve"> mund t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mb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shtes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rkimin p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 gjetj</w:t>
      </w:r>
      <w:r w:rsidR="00611C2D">
        <w:rPr>
          <w:noProof/>
          <w:lang w:val="sq-AL"/>
        </w:rPr>
        <w:t>e</w:t>
      </w:r>
      <w:r w:rsidR="00BF6374">
        <w:rPr>
          <w:noProof/>
          <w:lang w:val="sq-AL"/>
        </w:rPr>
        <w:t>n</w:t>
      </w:r>
      <w:r w:rsidR="00611C2D">
        <w:rPr>
          <w:noProof/>
          <w:lang w:val="sq-AL"/>
        </w:rPr>
        <w:t xml:space="preserve"> e zgjidhjeve p</w:t>
      </w:r>
      <w:r w:rsidR="00EA5891">
        <w:rPr>
          <w:noProof/>
          <w:lang w:val="sq-AL"/>
        </w:rPr>
        <w:t>ë</w:t>
      </w:r>
      <w:r w:rsidR="00611C2D">
        <w:rPr>
          <w:noProof/>
          <w:lang w:val="sq-AL"/>
        </w:rPr>
        <w:t>rmes: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BF6374" w:rsidRPr="00BF6374" w:rsidRDefault="00611C2D" w:rsidP="00BF6374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Shp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rndarjes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informacionit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nga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t, burimet</w:t>
      </w:r>
      <w:r w:rsidRPr="00BF6374">
        <w:rPr>
          <w:noProof/>
          <w:lang w:val="sq-AL"/>
        </w:rPr>
        <w:t xml:space="preserve"> europiane/nd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>rkomb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>tare (IFI-ve) tek t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 xml:space="preserve"> gjith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 xml:space="preserve"> an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>tar</w:t>
      </w:r>
      <w:r w:rsidR="00EA5891" w:rsidRPr="00BF6374">
        <w:rPr>
          <w:noProof/>
          <w:lang w:val="sq-AL"/>
        </w:rPr>
        <w:t>ë</w:t>
      </w:r>
      <w:r w:rsidRPr="00BF6374">
        <w:rPr>
          <w:noProof/>
          <w:lang w:val="sq-AL"/>
        </w:rPr>
        <w:t>t PERC.</w:t>
      </w:r>
    </w:p>
    <w:p w:rsidR="00611C2D" w:rsidRDefault="00611C2D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Organizimit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diskutimeve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targetuara (n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punim me ETUI</w:t>
      </w:r>
      <w:r w:rsidR="00BF6374">
        <w:rPr>
          <w:noProof/>
          <w:lang w:val="sq-AL"/>
        </w:rPr>
        <w:t>-n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 xml:space="preserve"> dhe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tjer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t)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shtjet ekonomike, tregut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s, zhvillimit social, </w:t>
      </w:r>
      <w:r w:rsidR="00A539A8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 xml:space="preserve"> propozuara ose t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</w:t>
      </w:r>
      <w:r w:rsidR="00A539A8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>rgatitura nga nj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>tar/grup an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>sh i ve</w:t>
      </w:r>
      <w:r w:rsidR="00EA5891">
        <w:rPr>
          <w:noProof/>
          <w:lang w:val="sq-AL"/>
        </w:rPr>
        <w:t>ç</w:t>
      </w:r>
      <w:r w:rsidR="00A539A8">
        <w:rPr>
          <w:noProof/>
          <w:lang w:val="sq-AL"/>
        </w:rPr>
        <w:t>ant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 xml:space="preserve"> ose brenda agjendave t</w:t>
      </w:r>
      <w:r w:rsidR="00EA5891">
        <w:rPr>
          <w:noProof/>
          <w:lang w:val="sq-AL"/>
        </w:rPr>
        <w:t>ë</w:t>
      </w:r>
      <w:r w:rsidR="00A539A8">
        <w:rPr>
          <w:noProof/>
          <w:lang w:val="sq-AL"/>
        </w:rPr>
        <w:t xml:space="preserve"> politikave ITUC/ETUC.</w:t>
      </w:r>
    </w:p>
    <w:p w:rsidR="00A539A8" w:rsidRDefault="00A539A8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lastRenderedPageBreak/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rkujdesjes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ekspertiz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rrjetit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espert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ligjor</w:t>
      </w:r>
      <w:r w:rsidR="00EA5891">
        <w:rPr>
          <w:noProof/>
          <w:lang w:val="sq-AL"/>
        </w:rPr>
        <w:t>ë</w:t>
      </w:r>
      <w:r w:rsidR="007143E2">
        <w:rPr>
          <w:noProof/>
          <w:lang w:val="sq-AL"/>
        </w:rPr>
        <w:t xml:space="preserve"> dhe ekonomik</w:t>
      </w:r>
      <w:r w:rsidR="007143E2">
        <w:rPr>
          <w:rFonts w:cstheme="minorHAnsi"/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rajonet </w:t>
      </w:r>
      <w:r w:rsidR="00BF6374">
        <w:rPr>
          <w:noProof/>
          <w:lang w:val="sq-AL"/>
        </w:rPr>
        <w:t>e EJL-s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 xml:space="preserve"> dhe </w:t>
      </w:r>
      <w:r w:rsidR="00BF6374">
        <w:rPr>
          <w:noProof/>
          <w:lang w:val="sq-AL"/>
        </w:rPr>
        <w:t>NIS</w:t>
      </w:r>
      <w:r>
        <w:rPr>
          <w:noProof/>
          <w:lang w:val="sq-AL"/>
        </w:rPr>
        <w:t xml:space="preserve"> dhe lidhjes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tyre sa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mundur me ngjarjet dhe diskutimet profesionale ne pjes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tjet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zon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PERC – ETUI/ETUC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shtjet e “rritjes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ve”, “fleksisigurin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” e rip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ritur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qasur,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rinjve dhe strategjit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jet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efektet e teknologjive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reja tek natyra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etj.</w:t>
      </w:r>
    </w:p>
    <w:p w:rsidR="00A539A8" w:rsidRDefault="00A539A8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Mbrojtjes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efikasitetit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rbimeve publike si faktor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stabilizues ekonomik dhe 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nies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rgjigjeve ndaj enigm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investimit/pun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dhe rivitalizimit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efekteve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shtetit</w:t>
      </w:r>
      <w:r w:rsidR="004A3CE5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qeni</w:t>
      </w:r>
      <w:r w:rsidR="00BF6374">
        <w:rPr>
          <w:noProof/>
          <w:lang w:val="sq-AL"/>
        </w:rPr>
        <w:t>e</w:t>
      </w:r>
      <w:r>
        <w:rPr>
          <w:noProof/>
          <w:lang w:val="sq-AL"/>
        </w:rPr>
        <w:t xml:space="preserve">s sociale. </w:t>
      </w:r>
    </w:p>
    <w:p w:rsidR="00A539A8" w:rsidRDefault="00A539A8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Integrimit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rgjigjeve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sindikat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ndaj problemeve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ndryshimit klimaterik dhe 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ndruesh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kontekstet e ndryshme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rajonit.</w:t>
      </w:r>
    </w:p>
    <w:p w:rsidR="00A539A8" w:rsidRDefault="004A3CE5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Projekteve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rrajonale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tipit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“strategjis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Danubit” 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rfshirjen e vendeve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ndryshme si dhe partner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social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aktor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tjer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.</w:t>
      </w:r>
    </w:p>
    <w:p w:rsidR="004A3CE5" w:rsidRDefault="004A3CE5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Adr</w:t>
      </w:r>
      <w:r w:rsidR="003D3DE3">
        <w:rPr>
          <w:noProof/>
          <w:lang w:val="sq-AL"/>
        </w:rPr>
        <w:t>esimit t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ndikimeve</w:t>
      </w:r>
      <w:r w:rsidR="003D3DE3">
        <w:rPr>
          <w:noProof/>
          <w:lang w:val="sq-AL"/>
        </w:rPr>
        <w:t xml:space="preserve"> negative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Kompanive Shum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komb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she</w:t>
      </w:r>
      <w:r>
        <w:rPr>
          <w:noProof/>
          <w:lang w:val="sq-AL"/>
        </w:rPr>
        <w:t xml:space="preserve"> ndaj strategjive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vendit, segmentimit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tregut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prishin standardet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dhe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s, dhe </w:t>
      </w:r>
      <w:r w:rsidR="003D3DE3">
        <w:rPr>
          <w:noProof/>
          <w:lang w:val="sq-AL"/>
        </w:rPr>
        <w:t>kohezionin social/e komunitetit brenda shoq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rive dhe nd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rmjet ekonomive 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pjes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ndryshme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rajonit. Angazhimit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pjes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ve europiane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zinxhir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ve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ofert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s globale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Kompanive Shum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komb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she 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promovuar respektin p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r standardet e pun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s dhe ato sociale dhe dinjitetin njer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zor 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veprimtarit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e tyr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 w:rsidR="003D3DE3">
        <w:rPr>
          <w:noProof/>
          <w:lang w:val="sq-AL"/>
        </w:rPr>
        <w:t>s.</w:t>
      </w:r>
    </w:p>
    <w:p w:rsidR="003D3DE3" w:rsidRDefault="003D3DE3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Adresimit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sfidave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shtohen dhe efektet precepituese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presioneve migratore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kontekste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ndryshme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vendeve 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rguese dhe pranuese brenda rajonit </w:t>
      </w:r>
      <w:r w:rsidR="00BF6374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</w:t>
      </w:r>
      <w:r>
        <w:rPr>
          <w:noProof/>
          <w:lang w:val="sq-AL"/>
        </w:rPr>
        <w:t>PERC</w:t>
      </w:r>
      <w:r w:rsidR="00BF6374">
        <w:rPr>
          <w:noProof/>
          <w:lang w:val="sq-AL"/>
        </w:rPr>
        <w:t>-ut</w:t>
      </w:r>
      <w:r>
        <w:rPr>
          <w:noProof/>
          <w:lang w:val="sq-AL"/>
        </w:rPr>
        <w:t>.</w:t>
      </w:r>
    </w:p>
    <w:p w:rsidR="003D3DE3" w:rsidRDefault="003D3DE3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Zgjidhjes s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“informalitetit”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kontekstet dhe perspektivat e formave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reja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veprimtaris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/modeleve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biznesit shpesh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regj</w:t>
      </w:r>
      <w:r w:rsidR="007143E2">
        <w:rPr>
          <w:noProof/>
          <w:lang w:val="sq-AL"/>
        </w:rPr>
        <w:t>ime qeverisje</w:t>
      </w:r>
      <w:r w:rsidR="00BF6374">
        <w:rPr>
          <w:noProof/>
          <w:lang w:val="sq-AL"/>
        </w:rPr>
        <w:t>je</w:t>
      </w:r>
      <w:r w:rsidR="007143E2">
        <w:rPr>
          <w:noProof/>
          <w:lang w:val="sq-AL"/>
        </w:rPr>
        <w:t xml:space="preserve"> me sundim ligji jo</w:t>
      </w:r>
      <w:r>
        <w:rPr>
          <w:noProof/>
          <w:lang w:val="sq-AL"/>
        </w:rPr>
        <w:t>efikas/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korruptuar </w:t>
      </w:r>
    </w:p>
    <w:p w:rsidR="003D3DE3" w:rsidRDefault="00A43D73" w:rsidP="00EB1D2B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Organizimit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diskutimeve/trajnimeve dhe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shtetje ekspert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organizatat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rballojn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sfida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anta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reformimin e politik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mbrojtjes sociale, p.sh. reformat e sistemeve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pensionit.</w:t>
      </w:r>
    </w:p>
    <w:p w:rsidR="00A43D73" w:rsidRDefault="00A43D73" w:rsidP="00A43D73">
      <w:pPr>
        <w:pStyle w:val="ListParagraph"/>
        <w:numPr>
          <w:ilvl w:val="0"/>
          <w:numId w:val="8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rkujdesjes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shprehive profesionale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rrjeteve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ekspert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ekonomik</w:t>
      </w:r>
      <w:r w:rsidR="007143E2">
        <w:rPr>
          <w:rFonts w:cstheme="minorHAnsi"/>
          <w:noProof/>
          <w:lang w:val="sq-AL"/>
        </w:rPr>
        <w:t>ë</w:t>
      </w:r>
      <w:r>
        <w:rPr>
          <w:noProof/>
          <w:lang w:val="sq-AL"/>
        </w:rPr>
        <w:t xml:space="preserve"> dhe ligjor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.</w:t>
      </w:r>
    </w:p>
    <w:p w:rsidR="00A43D73" w:rsidRDefault="00A43D73" w:rsidP="00A43D73">
      <w:pPr>
        <w:pStyle w:val="ListParagraph"/>
        <w:ind w:left="1440"/>
        <w:jc w:val="both"/>
        <w:rPr>
          <w:noProof/>
          <w:lang w:val="sq-AL"/>
        </w:rPr>
      </w:pPr>
    </w:p>
    <w:p w:rsidR="00197DA4" w:rsidRPr="00A43D73" w:rsidRDefault="00A43D73" w:rsidP="00A43D73">
      <w:pPr>
        <w:pStyle w:val="ListParagraph"/>
        <w:numPr>
          <w:ilvl w:val="0"/>
          <w:numId w:val="16"/>
        </w:numPr>
        <w:jc w:val="both"/>
        <w:rPr>
          <w:noProof/>
          <w:lang w:val="sq-AL"/>
        </w:rPr>
      </w:pPr>
      <w:r>
        <w:rPr>
          <w:b/>
          <w:i/>
          <w:noProof/>
          <w:lang w:val="sq-AL"/>
        </w:rPr>
        <w:t>P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rballimi i pabarazive gjithnj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n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rritje</w:t>
      </w:r>
    </w:p>
    <w:p w:rsidR="00197DA4" w:rsidRPr="00FE232F" w:rsidRDefault="00197DA4" w:rsidP="008F6EE5">
      <w:pPr>
        <w:pStyle w:val="ListParagraph"/>
        <w:jc w:val="both"/>
        <w:rPr>
          <w:noProof/>
          <w:lang w:val="sq-AL"/>
        </w:rPr>
      </w:pPr>
    </w:p>
    <w:p w:rsidR="00F31219" w:rsidRDefault="00A43D73" w:rsidP="00B91C9F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Sfida e pabarazive gjithnj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rritje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njohur dhe referuar gjer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sisht nga deklaratat politike praktikisht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gjitha nivelet zyrtare dhe debatet politike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deri tek protestat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rrug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rplasjet. Efekti i deritanish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ka qen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pothuajse zero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sa 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rket progresit n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rmbajtje</w:t>
      </w:r>
      <w:r>
        <w:rPr>
          <w:noProof/>
          <w:lang w:val="sq-AL"/>
        </w:rPr>
        <w:t xml:space="preserve"> dhe var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sia dominuese ndaj politik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masave shtr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nguese nuk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lejoj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krijimin e hap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reale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ndryshim kuptimplot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kursit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ardhme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af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rt.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studim i OECD-s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(Organizata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Kooperim dhe Zhvillim Ekonomik</w:t>
      </w:r>
      <w:r w:rsidR="00B91C9F">
        <w:rPr>
          <w:noProof/>
          <w:lang w:val="sq-AL"/>
        </w:rPr>
        <w:t>) i bie k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alarmit duke vler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suar se hendeku aktual global i 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ardhurave q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ndron n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nivelin e vitit 1820 dhe 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duke u larguar nga gjendja e m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parshme e shoq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rive 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balancuara</w:t>
      </w:r>
      <w:r w:rsidR="009322F6" w:rsidRPr="00FE232F">
        <w:rPr>
          <w:rStyle w:val="FootnoteReference"/>
          <w:noProof/>
          <w:lang w:val="sq-AL"/>
        </w:rPr>
        <w:footnoteReference w:id="2"/>
      </w:r>
      <w:r w:rsidR="00531533" w:rsidRPr="00B91C9F">
        <w:rPr>
          <w:noProof/>
          <w:lang w:val="sq-AL"/>
        </w:rPr>
        <w:t xml:space="preserve">. </w:t>
      </w:r>
      <w:r w:rsidR="00B91C9F"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ngjashme, edhe Christine Lagarde, shefja e FMN-s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>, pranon pabarazin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si nj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nga tre sfidat vendimtare ndaj “multilaterizmit 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ri “ t</w:t>
      </w:r>
      <w:r w:rsidR="00EA5891">
        <w:rPr>
          <w:noProof/>
          <w:lang w:val="sq-AL"/>
        </w:rPr>
        <w:t>ë</w:t>
      </w:r>
      <w:r w:rsidR="00B91C9F">
        <w:rPr>
          <w:noProof/>
          <w:lang w:val="sq-AL"/>
        </w:rPr>
        <w:t xml:space="preserve"> shekullit 21: </w:t>
      </w:r>
      <w:r w:rsidR="00B91C9F" w:rsidRPr="00B91C9F">
        <w:rPr>
          <w:i/>
          <w:noProof/>
          <w:lang w:val="sq-AL"/>
        </w:rPr>
        <w:t>... nj</w:t>
      </w:r>
      <w:r w:rsidR="00EA5891">
        <w:rPr>
          <w:i/>
          <w:noProof/>
          <w:lang w:val="sq-AL"/>
        </w:rPr>
        <w:t>ë</w:t>
      </w:r>
      <w:r w:rsidR="00BF6374">
        <w:rPr>
          <w:i/>
          <w:noProof/>
          <w:lang w:val="sq-AL"/>
        </w:rPr>
        <w:t xml:space="preserve"> </w:t>
      </w:r>
      <w:r w:rsidR="00B91C9F" w:rsidRPr="00B91C9F">
        <w:rPr>
          <w:i/>
          <w:noProof/>
          <w:lang w:val="sq-AL"/>
        </w:rPr>
        <w:t>shp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rndarje tep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 e shtremb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ruar e t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ardhurave d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mton shpejt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sin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dhe q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ndrueshm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rin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e </w:t>
      </w:r>
      <w:r w:rsidR="00B91C9F" w:rsidRPr="00B91C9F">
        <w:rPr>
          <w:i/>
          <w:noProof/>
          <w:lang w:val="sq-AL"/>
        </w:rPr>
        <w:lastRenderedPageBreak/>
        <w:t>rritjes n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nj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periudh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afatgjat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. Ajo </w:t>
      </w:r>
      <w:r w:rsidR="00EA5891">
        <w:rPr>
          <w:i/>
          <w:noProof/>
          <w:lang w:val="sq-AL"/>
        </w:rPr>
        <w:t>ç</w:t>
      </w:r>
      <w:r w:rsidR="00B91C9F" w:rsidRPr="00B91C9F">
        <w:rPr>
          <w:i/>
          <w:noProof/>
          <w:lang w:val="sq-AL"/>
        </w:rPr>
        <w:t>on n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nj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ekonomi p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rjashtue</w:t>
      </w:r>
      <w:r w:rsidR="007143E2">
        <w:rPr>
          <w:i/>
          <w:noProof/>
          <w:lang w:val="sq-AL"/>
        </w:rPr>
        <w:t>s</w:t>
      </w:r>
      <w:r w:rsidR="00B91C9F" w:rsidRPr="00B91C9F">
        <w:rPr>
          <w:i/>
          <w:noProof/>
          <w:lang w:val="sq-AL"/>
        </w:rPr>
        <w:t>e, dhe n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nj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shkret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>rir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potenciali t</w:t>
      </w:r>
      <w:r w:rsidR="00EA5891">
        <w:rPr>
          <w:i/>
          <w:noProof/>
          <w:lang w:val="sq-AL"/>
        </w:rPr>
        <w:t>ë</w:t>
      </w:r>
      <w:r w:rsidR="00B91C9F" w:rsidRPr="00B91C9F">
        <w:rPr>
          <w:i/>
          <w:noProof/>
          <w:lang w:val="sq-AL"/>
        </w:rPr>
        <w:t xml:space="preserve"> flakur tutje</w:t>
      </w:r>
      <w:r w:rsidR="009322F6" w:rsidRPr="00FE232F">
        <w:rPr>
          <w:rStyle w:val="FootnoteReference"/>
          <w:i/>
          <w:noProof/>
          <w:lang w:val="sq-AL"/>
        </w:rPr>
        <w:footnoteReference w:id="3"/>
      </w:r>
      <w:r w:rsidR="00531533" w:rsidRPr="00B91C9F">
        <w:rPr>
          <w:noProof/>
          <w:lang w:val="sq-AL"/>
        </w:rPr>
        <w:t xml:space="preserve">. </w:t>
      </w:r>
      <w:r w:rsidR="00F31219">
        <w:rPr>
          <w:noProof/>
          <w:lang w:val="sq-AL"/>
        </w:rPr>
        <w:t>Megjithat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, 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e v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shtir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t’i gjesh k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to ide n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politikat p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rkat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se 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ndreqjes dhe stabilizimit dhe n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rekomandimet e tyr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politikave zyrtare p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>r vendet q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 probleme shqet</w:t>
      </w:r>
      <w:r w:rsidR="00EA5891">
        <w:rPr>
          <w:noProof/>
          <w:lang w:val="sq-AL"/>
        </w:rPr>
        <w:t>ë</w:t>
      </w:r>
      <w:r w:rsidR="00F31219">
        <w:rPr>
          <w:noProof/>
          <w:lang w:val="sq-AL"/>
        </w:rPr>
        <w:t xml:space="preserve">suese ekonomike apo financiare. </w:t>
      </w:r>
    </w:p>
    <w:p w:rsidR="00F31219" w:rsidRDefault="00F31219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Pabarazit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rritje pothuajse kudo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s, edhe p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>rpara se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fillonte kriza, p</w:t>
      </w:r>
      <w:r w:rsidR="00EA5891">
        <w:rPr>
          <w:noProof/>
          <w:lang w:val="sq-AL"/>
        </w:rPr>
        <w:t>ë</w:t>
      </w:r>
      <w:r w:rsidR="007143E2">
        <w:rPr>
          <w:noProof/>
          <w:lang w:val="sq-AL"/>
        </w:rPr>
        <w:t>rfshir</w:t>
      </w:r>
      <w:r w:rsidR="007143E2">
        <w:rPr>
          <w:rFonts w:cstheme="minorHAnsi"/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 me ekonomi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funksionuese dhe me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nie pune dhe modele sociale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avancuara.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zhvillime tregojn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nevojshme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rkohet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forca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thella, sistemike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cilat i zhvendosin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moderne drejt drejtimeve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reja. Kjo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 zmadhuar ndjesh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efektet e llojeve tashm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njohura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lidhen me gjinin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mosh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n,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simin etnokulturor apo </w:t>
      </w:r>
      <w:r w:rsidR="00AA3360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paq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ndruesh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m dhe ka intensifikuar grumbullimin e linjave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fishta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pabarazis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tek nj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person, grup, lokalitet apo vend. 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se lejohen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vazhdojn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, efektet k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rc</w:t>
      </w:r>
      <w:r w:rsidR="00586F80">
        <w:rPr>
          <w:noProof/>
          <w:lang w:val="sq-AL"/>
        </w:rPr>
        <w:t>ë</w:t>
      </w:r>
      <w:r w:rsidR="00AA3360">
        <w:rPr>
          <w:noProof/>
          <w:lang w:val="sq-AL"/>
        </w:rPr>
        <w:t>nojn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shkat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rrojn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themelet e identiteteve individuale dhe kolektive/t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komunitetit dhe kohezionit social,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minojn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nga brenda strukturat demokratike dhe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kultivojn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kuptime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munges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fuqis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dhe cinizmit 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form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s</w:t>
      </w:r>
      <w:r w:rsidR="00AA3360">
        <w:rPr>
          <w:noProof/>
          <w:lang w:val="sq-AL"/>
        </w:rPr>
        <w:t>imin e strategjive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s dhe jet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s individuale.  K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to gj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ra nga ana e tyre do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ken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</w:t>
      </w:r>
      <w:r w:rsidR="00BF6374">
        <w:rPr>
          <w:noProof/>
          <w:lang w:val="sq-AL"/>
        </w:rPr>
        <w:t xml:space="preserve">ndikim </w:t>
      </w:r>
      <w:r w:rsidR="00AA3360">
        <w:rPr>
          <w:noProof/>
          <w:lang w:val="sq-AL"/>
        </w:rPr>
        <w:t>mbi vler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n dhe potencialin p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>r veprimin kolektiv. Vala gjithnj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e n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 xml:space="preserve"> rrijtje e </w:t>
      </w:r>
      <w:r w:rsidR="00AA3360">
        <w:rPr>
          <w:noProof/>
          <w:lang w:val="sq-AL"/>
        </w:rPr>
        <w:t>novacionit teknologjik, robotizimi dhe modelet e reja t</w:t>
      </w:r>
      <w:r w:rsidR="00EA5891">
        <w:rPr>
          <w:noProof/>
          <w:lang w:val="sq-AL"/>
        </w:rPr>
        <w:t>ë</w:t>
      </w:r>
      <w:r w:rsidR="00AA3360">
        <w:rPr>
          <w:noProof/>
          <w:lang w:val="sq-AL"/>
        </w:rPr>
        <w:t xml:space="preserve"> biznesit – ekonomia e aksioneve, </w:t>
      </w:r>
      <w:r w:rsidR="00414102">
        <w:rPr>
          <w:noProof/>
          <w:lang w:val="sq-AL"/>
        </w:rPr>
        <w:t>“</w:t>
      </w:r>
      <w:r w:rsidR="00414102" w:rsidRPr="00414102">
        <w:rPr>
          <w:i/>
          <w:noProof/>
          <w:lang w:val="sq-AL"/>
        </w:rPr>
        <w:t>cro</w:t>
      </w:r>
      <w:r w:rsidR="00EA5891">
        <w:rPr>
          <w:i/>
          <w:noProof/>
          <w:lang w:val="sq-AL"/>
        </w:rPr>
        <w:t>w</w:t>
      </w:r>
      <w:r w:rsidR="00414102" w:rsidRPr="00414102">
        <w:rPr>
          <w:i/>
          <w:noProof/>
          <w:lang w:val="sq-AL"/>
        </w:rPr>
        <w:t>dsourcing”</w:t>
      </w:r>
      <w:r w:rsidR="00414102">
        <w:rPr>
          <w:noProof/>
          <w:lang w:val="sq-AL"/>
        </w:rPr>
        <w:t xml:space="preserve"> (</w:t>
      </w:r>
      <w:r w:rsidR="00EA5891">
        <w:rPr>
          <w:i/>
          <w:noProof/>
          <w:lang w:val="sq-AL"/>
        </w:rPr>
        <w:t>prodhim i</w:t>
      </w:r>
      <w:r w:rsidR="00414102" w:rsidRPr="00414102">
        <w:rPr>
          <w:i/>
          <w:noProof/>
          <w:lang w:val="sq-AL"/>
        </w:rPr>
        <w:t xml:space="preserve"> hapur n</w:t>
      </w:r>
      <w:r w:rsidR="00EA5891">
        <w:rPr>
          <w:i/>
          <w:noProof/>
          <w:lang w:val="sq-AL"/>
        </w:rPr>
        <w:t>ë</w:t>
      </w:r>
      <w:r w:rsidR="00414102" w:rsidRPr="00414102">
        <w:rPr>
          <w:i/>
          <w:noProof/>
          <w:lang w:val="sq-AL"/>
        </w:rPr>
        <w:t>p</w:t>
      </w:r>
      <w:r w:rsidR="00EA5891">
        <w:rPr>
          <w:i/>
          <w:noProof/>
          <w:lang w:val="sq-AL"/>
        </w:rPr>
        <w:t>ë</w:t>
      </w:r>
      <w:r w:rsidR="00414102" w:rsidRPr="00414102">
        <w:rPr>
          <w:i/>
          <w:noProof/>
          <w:lang w:val="sq-AL"/>
        </w:rPr>
        <w:t>rmjet internetit</w:t>
      </w:r>
      <w:r w:rsidR="00414102">
        <w:rPr>
          <w:noProof/>
          <w:lang w:val="sq-AL"/>
        </w:rPr>
        <w:t>), etj. kan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potencialin p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rc</w:t>
      </w:r>
      <w:r w:rsidR="00586F80">
        <w:rPr>
          <w:noProof/>
          <w:lang w:val="sq-AL"/>
        </w:rPr>
        <w:t>ë</w:t>
      </w:r>
      <w:r w:rsidR="00414102">
        <w:rPr>
          <w:noProof/>
          <w:lang w:val="sq-AL"/>
        </w:rPr>
        <w:t>nuar ndjesh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m struktur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n tradicionale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tregut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s dhe ve</w:t>
      </w:r>
      <w:r w:rsidR="00EA5891">
        <w:rPr>
          <w:noProof/>
          <w:lang w:val="sq-AL"/>
        </w:rPr>
        <w:t>ç</w:t>
      </w:r>
      <w:r w:rsidR="00414102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risht politikat e pun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simit, por gjithashtu krijojn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lloje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reja pune, tek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cilat duhet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fokusohen dhe t’u paraprijn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sindikatat, 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q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maksimalizojn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efektet pozitive 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ndryshimeve 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 bot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>n e pun</w:t>
      </w:r>
      <w:r w:rsidR="00EA5891">
        <w:rPr>
          <w:noProof/>
          <w:lang w:val="sq-AL"/>
        </w:rPr>
        <w:t>ë</w:t>
      </w:r>
      <w:r w:rsidR="00414102">
        <w:rPr>
          <w:noProof/>
          <w:lang w:val="sq-AL"/>
        </w:rPr>
        <w:t xml:space="preserve">s. </w:t>
      </w:r>
    </w:p>
    <w:p w:rsidR="006F5AF6" w:rsidRPr="00FE232F" w:rsidRDefault="006F5AF6" w:rsidP="006F5AF6">
      <w:pPr>
        <w:pStyle w:val="ListParagraph"/>
        <w:rPr>
          <w:noProof/>
          <w:lang w:val="sq-AL"/>
        </w:rPr>
      </w:pPr>
    </w:p>
    <w:p w:rsidR="004C7B37" w:rsidRDefault="00CF11AA" w:rsidP="00CF11AA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Adresimi i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priret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fokusohet kryesisht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vij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kryesore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ndarjes sociale – 1:99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rqind e shp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rndarjes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pasuris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por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rja e brendshme e 99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rqind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shit i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nshtruar spostimeve strukturore, duke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diferencim dhe diversitete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politikat sindikaliste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organizimit dhe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rtimit t</w:t>
      </w:r>
      <w:r w:rsidR="00EA5891">
        <w:rPr>
          <w:noProof/>
          <w:lang w:val="sq-AL"/>
        </w:rPr>
        <w:t>ë</w:t>
      </w:r>
      <w:r w:rsidR="007143E2">
        <w:rPr>
          <w:noProof/>
          <w:lang w:val="sq-AL"/>
        </w:rPr>
        <w:t xml:space="preserve"> fu</w:t>
      </w:r>
      <w:r>
        <w:rPr>
          <w:noProof/>
          <w:lang w:val="sq-AL"/>
        </w:rPr>
        <w:t>qis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torit. </w:t>
      </w:r>
    </w:p>
    <w:p w:rsidR="00CF11AA" w:rsidRPr="00CF11AA" w:rsidRDefault="00CF11AA" w:rsidP="00CF11AA">
      <w:pPr>
        <w:pStyle w:val="ListParagraph"/>
        <w:rPr>
          <w:noProof/>
          <w:lang w:val="sq-AL"/>
        </w:rPr>
      </w:pPr>
    </w:p>
    <w:p w:rsidR="00CF11AA" w:rsidRPr="00CF11AA" w:rsidRDefault="00CF11AA" w:rsidP="00CF11AA">
      <w:pPr>
        <w:pStyle w:val="ListParagraph"/>
        <w:jc w:val="both"/>
        <w:rPr>
          <w:noProof/>
          <w:lang w:val="sq-AL"/>
        </w:rPr>
      </w:pPr>
    </w:p>
    <w:p w:rsidR="00CF11AA" w:rsidRDefault="00CF11AA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Barazia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rmjet grave dhe burrave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parim themelor i garantuar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traktatet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dhe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shtetur plot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</w:t>
      </w:r>
      <w:r w:rsidR="00BF6374">
        <w:rPr>
          <w:noProof/>
          <w:lang w:val="sq-AL"/>
        </w:rPr>
        <w:t>isht nga ITUC-u</w:t>
      </w:r>
      <w:r>
        <w:rPr>
          <w:noProof/>
          <w:lang w:val="sq-AL"/>
        </w:rPr>
        <w:t>. Sindikatat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kontribuar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legjislacionin ekzistues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gjinore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nivele 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dhe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tare dhe </w:t>
      </w:r>
      <w:r w:rsidR="0003053E">
        <w:rPr>
          <w:noProof/>
          <w:lang w:val="sq-AL"/>
        </w:rPr>
        <w:t>e kan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rdorur at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 ta mb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shtetur m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tej barazin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rmjet burrave dhe grave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rmes kontrat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 kolektive dhe dialogut social. Sa m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lart 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e v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rtet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 barazin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rmjet burrave dhe grave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tregun e pun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s,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ekonomi dhe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politik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kuptimin e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rgjithsh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m, si dhe nd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rmjet grave dhe burrave brenda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jet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n sht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piake dhe familjare. Pavar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sisht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gjitha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rpjekjeve, pabarazit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BF6374">
        <w:rPr>
          <w:noProof/>
          <w:lang w:val="sq-AL"/>
        </w:rPr>
        <w:t>rmjet burrave dhe grave</w:t>
      </w:r>
      <w:r w:rsidR="0003053E">
        <w:rPr>
          <w:noProof/>
          <w:lang w:val="sq-AL"/>
        </w:rPr>
        <w:t xml:space="preserve"> mbeten substanciale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gjitha sferat. Barazia gjinore dhe zgjidhja e cop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zimit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tregut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 jan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thelb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sore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adresuar dallimet e vazhdueshme gjinore,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tilla si dallimet e pag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s, dallimet e pensioneve dhe p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rfaq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>simit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vendimmarrje. Nj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gj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e till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duhet integruar n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03053E">
        <w:rPr>
          <w:noProof/>
          <w:lang w:val="sq-AL"/>
        </w:rPr>
        <w:t xml:space="preserve"> gjitha politikat sindikaliste.</w:t>
      </w:r>
    </w:p>
    <w:p w:rsidR="004C7B37" w:rsidRPr="00FE232F" w:rsidRDefault="004C7B37" w:rsidP="004C7B37">
      <w:pPr>
        <w:pStyle w:val="ListParagraph"/>
        <w:rPr>
          <w:noProof/>
          <w:lang w:val="sq-AL"/>
        </w:rPr>
      </w:pPr>
    </w:p>
    <w:p w:rsidR="0003053E" w:rsidRDefault="0003053E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Bazuar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zimet e politikave </w:t>
      </w:r>
      <w:r w:rsidR="0057142D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 w:rsidR="0057142D">
        <w:rPr>
          <w:noProof/>
          <w:lang w:val="sq-AL"/>
        </w:rPr>
        <w:t xml:space="preserve"> </w:t>
      </w:r>
      <w:r>
        <w:rPr>
          <w:noProof/>
          <w:lang w:val="sq-AL"/>
        </w:rPr>
        <w:t>ITUC</w:t>
      </w:r>
      <w:r w:rsidR="0057142D">
        <w:rPr>
          <w:noProof/>
          <w:lang w:val="sq-AL"/>
        </w:rPr>
        <w:t>-ut</w:t>
      </w:r>
      <w:r>
        <w:rPr>
          <w:noProof/>
          <w:lang w:val="sq-AL"/>
        </w:rPr>
        <w:t xml:space="preserve"> dhe ETUC</w:t>
      </w:r>
      <w:r w:rsidR="0057142D">
        <w:rPr>
          <w:noProof/>
          <w:lang w:val="sq-AL"/>
        </w:rPr>
        <w:t>-ut, PERC-u</w:t>
      </w:r>
      <w:r>
        <w:rPr>
          <w:noProof/>
          <w:lang w:val="sq-AL"/>
        </w:rPr>
        <w:t xml:space="preserve"> </w:t>
      </w:r>
      <w:r w:rsidR="0017575B">
        <w:rPr>
          <w:noProof/>
          <w:lang w:val="sq-AL"/>
        </w:rPr>
        <w:t>mund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rmarr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tej nj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angazhim m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thell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 sfidat n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kontekste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 w:rsidR="0017575B">
        <w:rPr>
          <w:noProof/>
          <w:lang w:val="sq-AL"/>
        </w:rPr>
        <w:t>anta ku p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rfshihen kombinime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ndryshme faktor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sh. Reagimet dhe veprimet e politikave do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rkojn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qasje shum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 xml:space="preserve"> </w:t>
      </w:r>
      <w:r w:rsidR="0017575B">
        <w:rPr>
          <w:noProof/>
          <w:lang w:val="sq-AL"/>
        </w:rPr>
        <w:t>gjith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rfshir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se,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orientuara nga sistemi, meqen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>se targetimi i aspekteve ndaraz</w:t>
      </w:r>
      <w:r w:rsidR="0017575B">
        <w:rPr>
          <w:noProof/>
          <w:lang w:val="sq-AL"/>
        </w:rPr>
        <w:t>i mund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</w:t>
      </w:r>
      <w:r w:rsidR="0017575B">
        <w:rPr>
          <w:noProof/>
          <w:lang w:val="sq-AL"/>
        </w:rPr>
        <w:lastRenderedPageBreak/>
        <w:t>mos jet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efikas n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 xml:space="preserve"> raste.  PERC-u</w:t>
      </w:r>
      <w:r w:rsidR="0017575B">
        <w:rPr>
          <w:noProof/>
          <w:lang w:val="sq-AL"/>
        </w:rPr>
        <w:t xml:space="preserve"> mund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koordinoj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zhvillimin e qasjeve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tilla me organizatat e interesuara p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rgjat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linjave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agjend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“pun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ndershme”, planit t</w:t>
      </w:r>
      <w:r w:rsidR="00EA5891">
        <w:rPr>
          <w:noProof/>
          <w:lang w:val="sq-AL"/>
        </w:rPr>
        <w:t>ë</w:t>
      </w:r>
      <w:r w:rsidR="0017575B">
        <w:rPr>
          <w:noProof/>
          <w:lang w:val="sq-AL"/>
        </w:rPr>
        <w:t xml:space="preserve"> investimit dhe protokollit social (propozimet </w:t>
      </w:r>
      <w:r w:rsidR="0057142D">
        <w:rPr>
          <w:noProof/>
          <w:lang w:val="sq-AL"/>
        </w:rPr>
        <w:t xml:space="preserve">e </w:t>
      </w:r>
      <w:r w:rsidR="0017575B">
        <w:rPr>
          <w:noProof/>
          <w:lang w:val="sq-AL"/>
        </w:rPr>
        <w:t>ETUC</w:t>
      </w:r>
      <w:r w:rsidR="0057142D">
        <w:rPr>
          <w:noProof/>
          <w:lang w:val="sq-AL"/>
        </w:rPr>
        <w:t>-ut</w:t>
      </w:r>
      <w:r w:rsidR="0017575B">
        <w:rPr>
          <w:noProof/>
          <w:lang w:val="sq-AL"/>
        </w:rPr>
        <w:t>):</w:t>
      </w:r>
    </w:p>
    <w:p w:rsidR="0003053E" w:rsidRPr="0003053E" w:rsidRDefault="0003053E" w:rsidP="0003053E">
      <w:pPr>
        <w:pStyle w:val="ListParagraph"/>
        <w:rPr>
          <w:noProof/>
          <w:lang w:val="sq-AL"/>
        </w:rPr>
      </w:pPr>
    </w:p>
    <w:p w:rsidR="00B403DB" w:rsidRPr="00FE232F" w:rsidRDefault="00B403DB" w:rsidP="00B403DB">
      <w:pPr>
        <w:pStyle w:val="ListParagraph"/>
        <w:rPr>
          <w:noProof/>
          <w:lang w:val="sq-AL"/>
        </w:rPr>
      </w:pPr>
    </w:p>
    <w:p w:rsidR="0017575B" w:rsidRDefault="0017575B" w:rsidP="00B403DB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Konfrontimi i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ardhurave dhe pasuris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rdrejt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rmes politikave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simit/cil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kontrat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kolektive, sistemeve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informacionit dhe konsultimit, sistemeve sociale mbrojt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sistemeve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besueshme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pensioneve, sistemeve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 dhe efikase tatimore, 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rbimeve </w:t>
      </w:r>
      <w:r w:rsidR="001D2A6E">
        <w:rPr>
          <w:noProof/>
          <w:lang w:val="sq-AL"/>
        </w:rPr>
        <w:t>publike adekuate dhe zhvillimit t</w:t>
      </w:r>
      <w:r w:rsidR="00EA5891">
        <w:rPr>
          <w:noProof/>
          <w:lang w:val="sq-AL"/>
        </w:rPr>
        <w:t>ë</w:t>
      </w:r>
      <w:r w:rsidR="001D2A6E">
        <w:rPr>
          <w:noProof/>
          <w:lang w:val="sq-AL"/>
        </w:rPr>
        <w:t xml:space="preserve"> ekonomis</w:t>
      </w:r>
      <w:r w:rsidR="00EA5891">
        <w:rPr>
          <w:noProof/>
          <w:lang w:val="sq-AL"/>
        </w:rPr>
        <w:t>ë</w:t>
      </w:r>
      <w:r w:rsidR="001D2A6E"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 w:rsidR="001D2A6E">
        <w:rPr>
          <w:noProof/>
          <w:lang w:val="sq-AL"/>
        </w:rPr>
        <w:t xml:space="preserve"> kujdesit. </w:t>
      </w:r>
    </w:p>
    <w:p w:rsidR="001D2A6E" w:rsidRDefault="001D2A6E" w:rsidP="00B403DB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Konfrontimi i tipeve specifike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formave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–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bazuar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gini dhe dallimin gjinor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pag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simin bazuar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mosh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pag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n, </w:t>
      </w:r>
      <w:r w:rsidR="008352DA">
        <w:rPr>
          <w:noProof/>
          <w:lang w:val="sq-AL"/>
        </w:rPr>
        <w:t>organizimet e pun</w:t>
      </w:r>
      <w:r w:rsidR="00EA5891">
        <w:rPr>
          <w:noProof/>
          <w:lang w:val="sq-AL"/>
        </w:rPr>
        <w:t>ë</w:t>
      </w:r>
      <w:r w:rsidR="008352DA">
        <w:rPr>
          <w:noProof/>
          <w:lang w:val="sq-AL"/>
        </w:rPr>
        <w:t>simit sipas bazave etinike/kulturore, t</w:t>
      </w:r>
      <w:r w:rsidR="00EA5891">
        <w:rPr>
          <w:noProof/>
          <w:lang w:val="sq-AL"/>
        </w:rPr>
        <w:t>ë</w:t>
      </w:r>
      <w:r w:rsidR="008352DA">
        <w:rPr>
          <w:noProof/>
          <w:lang w:val="sq-AL"/>
        </w:rPr>
        <w:t xml:space="preserve"> paq</w:t>
      </w:r>
      <w:r w:rsidR="00EA5891">
        <w:rPr>
          <w:noProof/>
          <w:lang w:val="sq-AL"/>
        </w:rPr>
        <w:t>ë</w:t>
      </w:r>
      <w:r w:rsidR="008352DA">
        <w:rPr>
          <w:noProof/>
          <w:lang w:val="sq-AL"/>
        </w:rPr>
        <w:t xml:space="preserve">ndrueshme dhe informale, statusin e emigrantit. </w:t>
      </w:r>
    </w:p>
    <w:p w:rsidR="0088549F" w:rsidRPr="00FE232F" w:rsidRDefault="008352DA" w:rsidP="00B403DB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Promovimi i grave dhe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rinjve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pozicione lidershipi dhe vendimmarrjeje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gjitha nivelet, nisja me strukturat e brendshme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sindikatave 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nevoj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pranuar gjer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sisht por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ende</w:t>
      </w:r>
      <w:r w:rsidR="0057142D">
        <w:rPr>
          <w:noProof/>
          <w:lang w:val="sq-AL"/>
        </w:rPr>
        <w:t xml:space="preserve"> </w:t>
      </w:r>
      <w:r w:rsidR="00F114EC">
        <w:rPr>
          <w:noProof/>
          <w:lang w:val="sq-AL"/>
        </w:rPr>
        <w:t>është</w:t>
      </w:r>
      <w:r w:rsidR="0057142D">
        <w:rPr>
          <w:noProof/>
          <w:lang w:val="sq-AL"/>
        </w:rPr>
        <w:t xml:space="preserve"> </w:t>
      </w:r>
      <w:r>
        <w:rPr>
          <w:noProof/>
          <w:lang w:val="sq-AL"/>
        </w:rPr>
        <w:t>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kanal 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rdorur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mjaftueshme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riforcuar p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>rp</w:t>
      </w:r>
      <w:r>
        <w:rPr>
          <w:noProof/>
          <w:lang w:val="sq-AL"/>
        </w:rPr>
        <w:t>jekjet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konfrontimin e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diskriminimit n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 xml:space="preserve"> tregu</w:t>
      </w:r>
      <w:r>
        <w:rPr>
          <w:noProof/>
          <w:lang w:val="sq-AL"/>
        </w:rPr>
        <w:t>n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gj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.</w:t>
      </w:r>
    </w:p>
    <w:p w:rsidR="008352DA" w:rsidRDefault="008352DA" w:rsidP="00CA665C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Konfrontimi i pabarazive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rmarrje dhe mbi baza gjeografike – tipi dhe madh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sia e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rmarrjes (aksesi ndaj kredit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 xml:space="preserve">ve, </w:t>
      </w:r>
      <w:r>
        <w:rPr>
          <w:noProof/>
          <w:lang w:val="sq-AL"/>
        </w:rPr>
        <w:t>novacionit, aft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sive dhe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administrat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s), Kompanit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komb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she dhe zinxhirat e ofert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globale, p</w:t>
      </w:r>
      <w:r w:rsidR="00EA5891">
        <w:rPr>
          <w:noProof/>
          <w:lang w:val="sq-AL"/>
        </w:rPr>
        <w:t>ë</w:t>
      </w:r>
      <w:r w:rsidR="0057142D">
        <w:rPr>
          <w:noProof/>
          <w:lang w:val="sq-AL"/>
        </w:rPr>
        <w:t>rqendrimet e investimeve/IHD</w:t>
      </w:r>
      <w:r>
        <w:rPr>
          <w:noProof/>
          <w:lang w:val="sq-AL"/>
        </w:rPr>
        <w:t>-ve (Investimeve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huaja direkte)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grupe, </w:t>
      </w:r>
      <w:r w:rsidR="00245217">
        <w:rPr>
          <w:noProof/>
          <w:lang w:val="sq-AL"/>
        </w:rPr>
        <w:t>pabarazit</w:t>
      </w:r>
      <w:r w:rsidR="00EA5891">
        <w:rPr>
          <w:noProof/>
          <w:lang w:val="sq-AL"/>
        </w:rPr>
        <w:t>ë</w:t>
      </w:r>
      <w:r w:rsidR="00245217">
        <w:rPr>
          <w:noProof/>
          <w:lang w:val="sq-AL"/>
        </w:rPr>
        <w:t xml:space="preserve"> rajonale, diferencimet e vendit.</w:t>
      </w:r>
    </w:p>
    <w:p w:rsidR="00245217" w:rsidRDefault="00245217" w:rsidP="00B403DB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Koordinimi dhe promovimi i ndryshimit klimaterik, gjelb</w:t>
      </w:r>
      <w:r w:rsidR="00EA5891">
        <w:rPr>
          <w:noProof/>
          <w:lang w:val="sq-AL"/>
        </w:rPr>
        <w:t>ë</w:t>
      </w:r>
      <w:r w:rsidR="00F114EC">
        <w:rPr>
          <w:noProof/>
          <w:lang w:val="sq-AL"/>
        </w:rPr>
        <w:t>rimi i ekonomiv</w:t>
      </w:r>
      <w:r>
        <w:rPr>
          <w:noProof/>
          <w:lang w:val="sq-AL"/>
        </w:rPr>
        <w:t>e dhe strategjit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alternative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mjedisit, nisma </w:t>
      </w:r>
      <w:r w:rsidR="0057142D">
        <w:rPr>
          <w:noProof/>
          <w:lang w:val="sq-AL"/>
        </w:rPr>
        <w:t>komunitare</w:t>
      </w:r>
      <w:r>
        <w:rPr>
          <w:noProof/>
          <w:lang w:val="sq-AL"/>
        </w:rPr>
        <w:t>.</w:t>
      </w:r>
    </w:p>
    <w:p w:rsidR="00245217" w:rsidRDefault="00245217" w:rsidP="00B403DB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Promovimi i politikave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ndetit dhe siguris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vendin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pjes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marrjes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rmjet stabilizimit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rrjeteve t</w:t>
      </w:r>
      <w:r w:rsidR="00EA5891">
        <w:rPr>
          <w:noProof/>
          <w:lang w:val="sq-AL"/>
        </w:rPr>
        <w:t>ë</w:t>
      </w:r>
      <w:r w:rsidR="00F114EC">
        <w:rPr>
          <w:noProof/>
          <w:lang w:val="sq-AL"/>
        </w:rPr>
        <w:t xml:space="preserve"> ekspert</w:t>
      </w:r>
      <w:r w:rsidR="00F114EC">
        <w:rPr>
          <w:rFonts w:cstheme="minorHAnsi"/>
          <w:noProof/>
          <w:lang w:val="sq-AL"/>
        </w:rPr>
        <w:t>ë</w:t>
      </w:r>
      <w:r>
        <w:rPr>
          <w:noProof/>
          <w:lang w:val="sq-AL"/>
        </w:rPr>
        <w:t>ve sindikalist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ndetit dhe siguris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vendin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s.</w:t>
      </w:r>
    </w:p>
    <w:p w:rsidR="00245217" w:rsidRDefault="00245217" w:rsidP="00245217">
      <w:pPr>
        <w:pStyle w:val="ListParagraph"/>
        <w:numPr>
          <w:ilvl w:val="0"/>
          <w:numId w:val="9"/>
        </w:numPr>
        <w:jc w:val="both"/>
        <w:rPr>
          <w:noProof/>
          <w:lang w:val="sq-AL"/>
        </w:rPr>
      </w:pPr>
      <w:r>
        <w:rPr>
          <w:noProof/>
          <w:lang w:val="sq-AL"/>
        </w:rPr>
        <w:t>Barazimi i regjimeve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operimit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aktor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ekonomik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– duke luftuar informalitetin dhe korrupsionin/ kapjen e (politikave</w:t>
      </w:r>
      <w:r w:rsidR="0057142D">
        <w:rPr>
          <w:noProof/>
          <w:lang w:val="sq-AL"/>
        </w:rPr>
        <w:t xml:space="preserve"> </w:t>
      </w:r>
      <w:r w:rsidR="00F114EC">
        <w:rPr>
          <w:noProof/>
          <w:lang w:val="sq-AL"/>
        </w:rPr>
        <w:t>të</w:t>
      </w:r>
      <w:r>
        <w:rPr>
          <w:noProof/>
          <w:lang w:val="sq-AL"/>
        </w:rPr>
        <w:t>) shtetit.</w:t>
      </w:r>
    </w:p>
    <w:p w:rsidR="00C41DB2" w:rsidRPr="00C41DB2" w:rsidRDefault="00C41DB2" w:rsidP="00F114EC">
      <w:pPr>
        <w:jc w:val="both"/>
        <w:rPr>
          <w:noProof/>
          <w:lang w:val="sq-AL"/>
        </w:rPr>
      </w:pPr>
    </w:p>
    <w:p w:rsidR="00C41DB2" w:rsidRPr="00C41DB2" w:rsidRDefault="00C41DB2" w:rsidP="00C41DB2">
      <w:pPr>
        <w:pStyle w:val="ListParagraph"/>
        <w:numPr>
          <w:ilvl w:val="0"/>
          <w:numId w:val="16"/>
        </w:numPr>
        <w:jc w:val="both"/>
        <w:rPr>
          <w:b/>
          <w:i/>
          <w:noProof/>
          <w:lang w:val="sq-AL"/>
        </w:rPr>
      </w:pPr>
      <w:r w:rsidRPr="00C41DB2">
        <w:rPr>
          <w:b/>
          <w:i/>
          <w:noProof/>
          <w:lang w:val="sq-AL"/>
        </w:rPr>
        <w:t>Mbro</w:t>
      </w:r>
      <w:r w:rsidR="0057142D">
        <w:rPr>
          <w:b/>
          <w:i/>
          <w:noProof/>
          <w:lang w:val="sq-AL"/>
        </w:rPr>
        <w:t>j</w:t>
      </w:r>
      <w:r w:rsidRPr="00C41DB2">
        <w:rPr>
          <w:b/>
          <w:i/>
          <w:noProof/>
          <w:lang w:val="sq-AL"/>
        </w:rPr>
        <w:t>tja e t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 xml:space="preserve"> drejtave t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 xml:space="preserve"> pun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>s dhe sociale, dialog i past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>r social dhe kontrat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 xml:space="preserve"> kolektive – instrumenta p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>r korrigjimin e tregut, jo p</w:t>
      </w:r>
      <w:r w:rsidR="00EA5891">
        <w:rPr>
          <w:b/>
          <w:i/>
          <w:noProof/>
          <w:lang w:val="sq-AL"/>
        </w:rPr>
        <w:t>ë</w:t>
      </w:r>
      <w:r w:rsidRPr="00C41DB2">
        <w:rPr>
          <w:b/>
          <w:i/>
          <w:noProof/>
          <w:lang w:val="sq-AL"/>
        </w:rPr>
        <w:t>r konkurrenc</w:t>
      </w:r>
      <w:r w:rsidR="00EA5891">
        <w:rPr>
          <w:b/>
          <w:i/>
          <w:noProof/>
          <w:lang w:val="sq-AL"/>
        </w:rPr>
        <w:t>ë</w:t>
      </w:r>
    </w:p>
    <w:p w:rsidR="00FF5CFC" w:rsidRPr="00FE232F" w:rsidRDefault="00FF5CFC" w:rsidP="00FF5CFC">
      <w:pPr>
        <w:pStyle w:val="ListParagraph"/>
        <w:ind w:left="1080"/>
        <w:jc w:val="both"/>
        <w:rPr>
          <w:b/>
          <w:i/>
          <w:noProof/>
          <w:lang w:val="sq-AL"/>
        </w:rPr>
      </w:pPr>
    </w:p>
    <w:p w:rsidR="00C41DB2" w:rsidRDefault="00C41DB2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Impakti i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presionet e borxhit shtet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ror,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57142D">
        <w:rPr>
          <w:noProof/>
          <w:lang w:val="sq-AL"/>
        </w:rPr>
        <w:t>omplikuara nga efektet e “masave</w:t>
      </w:r>
      <w:r>
        <w:rPr>
          <w:noProof/>
          <w:lang w:val="sq-AL"/>
        </w:rPr>
        <w:t xml:space="preserve"> shtr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ng</w:t>
      </w:r>
      <w:r w:rsidR="00F114EC">
        <w:rPr>
          <w:noProof/>
          <w:lang w:val="sq-AL"/>
        </w:rPr>
        <w:t xml:space="preserve">uese”, 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patur dobi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qeveri</w:t>
      </w:r>
      <w:r w:rsidR="00CE37DD">
        <w:rPr>
          <w:noProof/>
          <w:lang w:val="sq-AL"/>
        </w:rPr>
        <w:t>t</w:t>
      </w:r>
      <w:r w:rsidR="00586F80">
        <w:rPr>
          <w:noProof/>
          <w:lang w:val="sq-AL"/>
        </w:rPr>
        <w:t>ë</w:t>
      </w:r>
      <w:r>
        <w:rPr>
          <w:noProof/>
          <w:lang w:val="sq-AL"/>
        </w:rPr>
        <w:t>,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rmarrje</w:t>
      </w:r>
      <w:r w:rsidR="00CE37DD">
        <w:rPr>
          <w:noProof/>
          <w:lang w:val="sq-AL"/>
        </w:rPr>
        <w:t>t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dhe aktor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t</w:t>
      </w:r>
      <w:r>
        <w:rPr>
          <w:noProof/>
          <w:lang w:val="sq-AL"/>
        </w:rPr>
        <w:t xml:space="preserve"> </w:t>
      </w:r>
      <w:r w:rsidR="00CE37DD">
        <w:rPr>
          <w:noProof/>
          <w:lang w:val="sq-AL"/>
        </w:rPr>
        <w:t>e</w:t>
      </w:r>
      <w:r>
        <w:rPr>
          <w:noProof/>
          <w:lang w:val="sq-AL"/>
        </w:rPr>
        <w:t xml:space="preserve"> tjer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jasht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m, p.sh. “trojka”, Dhoma Amerikane e Tregtis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ose struktura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anta investitor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huaj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patur mund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si </w:t>
      </w:r>
      <w:r w:rsidR="00E74DD2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pashoqe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</w:t>
      </w:r>
      <w:r w:rsidR="00CE37DD">
        <w:rPr>
          <w:noProof/>
          <w:lang w:val="sq-AL"/>
        </w:rPr>
        <w:t>pak</w:t>
      </w:r>
      <w:r w:rsidR="00586F80">
        <w:rPr>
          <w:noProof/>
          <w:lang w:val="sq-AL"/>
        </w:rPr>
        <w:t>ë</w:t>
      </w:r>
      <w:r w:rsidR="00CE37DD">
        <w:rPr>
          <w:noProof/>
          <w:lang w:val="sq-AL"/>
        </w:rPr>
        <w:t>suar</w:t>
      </w:r>
      <w:r w:rsidR="00E74DD2">
        <w:rPr>
          <w:noProof/>
          <w:lang w:val="sq-AL"/>
        </w:rPr>
        <w:t xml:space="preserve"> ose </w:t>
      </w:r>
      <w:r w:rsidR="00CE37DD">
        <w:rPr>
          <w:noProof/>
          <w:lang w:val="sq-AL"/>
        </w:rPr>
        <w:t>hequ</w:t>
      </w:r>
      <w:r w:rsidR="00E74DD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drejta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s dhe sociale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rcaktuara,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 w:rsidR="00E74DD2">
        <w:rPr>
          <w:noProof/>
          <w:lang w:val="sq-AL"/>
        </w:rPr>
        <w:t>montuar pjes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ose nivele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kontrat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s kolektive aty ku 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ekzistuese – qoft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sektoriale, apo komb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tare. Kjo rrym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e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rgjithshme 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sht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rdorur 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ndrydhur shanset e konsolidimit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sistemeve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tilla n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procesin e zhvillimit, ve</w:t>
      </w:r>
      <w:r w:rsidR="00EA5891">
        <w:rPr>
          <w:noProof/>
          <w:lang w:val="sq-AL"/>
        </w:rPr>
        <w:t>ç</w:t>
      </w:r>
      <w:r w:rsidR="00E74DD2"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risht n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disa vende t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 w:rsidR="00E74DD2">
        <w:rPr>
          <w:noProof/>
          <w:lang w:val="sq-AL"/>
        </w:rPr>
        <w:t>s Juglindore.</w:t>
      </w:r>
    </w:p>
    <w:p w:rsidR="00C064F5" w:rsidRPr="00FE232F" w:rsidRDefault="00C064F5" w:rsidP="00C064F5">
      <w:pPr>
        <w:pStyle w:val="ListParagraph"/>
        <w:jc w:val="both"/>
        <w:rPr>
          <w:noProof/>
          <w:lang w:val="sq-AL"/>
        </w:rPr>
      </w:pPr>
    </w:p>
    <w:p w:rsidR="00644ED1" w:rsidRDefault="00E74DD2" w:rsidP="00644ED1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Perspektivat ekonomike dhe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vitet e ardhshme tregojn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vazhdim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mjedisi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shumti armiq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sor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zhvillimin e dialogut social dhe kontrat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s kolektive.  Me </w:t>
      </w:r>
      <w:r>
        <w:rPr>
          <w:noProof/>
          <w:lang w:val="sq-AL"/>
        </w:rPr>
        <w:lastRenderedPageBreak/>
        <w:t>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llim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rivendosen strukturat,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rifitohet dinamika pozitive dhe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fillohet kthimi i drejtimit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rrymave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pabarazis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rkohet mobilizim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 madh i potencialit sindikalist dhe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risht organizim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rkpjekjesh.</w:t>
      </w:r>
    </w:p>
    <w:p w:rsidR="00644ED1" w:rsidRPr="00644ED1" w:rsidRDefault="00644ED1" w:rsidP="00644ED1">
      <w:pPr>
        <w:pStyle w:val="ListParagraph"/>
        <w:rPr>
          <w:noProof/>
          <w:lang w:val="sq-AL"/>
        </w:rPr>
      </w:pPr>
    </w:p>
    <w:p w:rsidR="00644ED1" w:rsidRPr="00644ED1" w:rsidRDefault="00644ED1" w:rsidP="00644ED1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Rivitalizimi i qasjes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“fleksisiguris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”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zgjidhur kriz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BE,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ruar me rekomandimet e Semestrit Europian dhe ushtrimit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“qeverisjes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”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Komisionit Europian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ushtrojn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presion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madh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kufizimin/”kornizimin” e gam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sociale, dhe rolit dhe efikasitetit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kontrat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kolektive.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do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jen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disa nga synimet e para gjat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rinegociimit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Mbret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Bashkuar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BE. Mbetet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shihet sa larg do </w:t>
      </w:r>
      <w:r w:rsidR="00793BD8"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 w:rsidR="00793BD8">
        <w:rPr>
          <w:noProof/>
          <w:lang w:val="sq-AL"/>
        </w:rPr>
        <w:t xml:space="preserve"> shkojn</w:t>
      </w:r>
      <w:r w:rsidR="00EA5891">
        <w:rPr>
          <w:noProof/>
          <w:lang w:val="sq-AL"/>
        </w:rPr>
        <w:t>ë</w:t>
      </w:r>
      <w:r w:rsidR="00793BD8">
        <w:rPr>
          <w:noProof/>
          <w:lang w:val="sq-AL"/>
        </w:rPr>
        <w:t xml:space="preserve"> efektet e val</w:t>
      </w:r>
      <w:r w:rsidR="00EA5891">
        <w:rPr>
          <w:noProof/>
          <w:lang w:val="sq-AL"/>
        </w:rPr>
        <w:t>ë</w:t>
      </w:r>
      <w:r w:rsidR="00793BD8">
        <w:rPr>
          <w:noProof/>
          <w:lang w:val="sq-AL"/>
        </w:rPr>
        <w:t>zes.</w:t>
      </w:r>
    </w:p>
    <w:p w:rsidR="003C7336" w:rsidRPr="00FE232F" w:rsidRDefault="003C7336" w:rsidP="003C7336">
      <w:pPr>
        <w:pStyle w:val="ListParagraph"/>
        <w:rPr>
          <w:noProof/>
          <w:lang w:val="sq-AL"/>
        </w:rPr>
      </w:pPr>
    </w:p>
    <w:p w:rsidR="00793BD8" w:rsidRDefault="00793BD8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Komisioni Europian ka dal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tashm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me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deklarat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zyrtare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 dialogut social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politikat e reja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qeverisjes ekonomike dhe insiston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rfshirjen e partner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social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procesin e politikave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nga fillimi i ciklit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rishikimit vjetor. Megjithat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propozime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rdoren n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</w:t>
      </w:r>
      <w:r>
        <w:rPr>
          <w:noProof/>
          <w:lang w:val="sq-AL"/>
        </w:rPr>
        <w:t>radh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siguruar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shtetje nga ana e partner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social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legjitimizim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analiz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rekomandimeve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Komisionit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 w:rsidR="00F114EC">
        <w:rPr>
          <w:noProof/>
          <w:lang w:val="sq-AL"/>
        </w:rPr>
        <w:t xml:space="preserve"> krijuar konsensus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mjaftuesh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publik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to </w:t>
      </w:r>
      <w:r w:rsidR="00EA5891">
        <w:rPr>
          <w:noProof/>
          <w:lang w:val="sq-AL"/>
        </w:rPr>
        <w:t>çë</w:t>
      </w:r>
      <w:r>
        <w:rPr>
          <w:noProof/>
          <w:lang w:val="sq-AL"/>
        </w:rPr>
        <w:t>shtje. Nga BE-ja,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tilla konsiderime dhe ide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fluturojn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leht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sisht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rtej kufijve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gjith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n, ku sisteme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tjera tashm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po l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vizin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drejtim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ngjash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m.</w:t>
      </w:r>
    </w:p>
    <w:p w:rsidR="00793BD8" w:rsidRPr="00793BD8" w:rsidRDefault="00793BD8" w:rsidP="00793BD8">
      <w:pPr>
        <w:pStyle w:val="ListParagraph"/>
        <w:rPr>
          <w:noProof/>
          <w:lang w:val="sq-AL"/>
        </w:rPr>
      </w:pPr>
    </w:p>
    <w:p w:rsidR="009940A9" w:rsidRPr="00FE232F" w:rsidRDefault="009940A9" w:rsidP="009940A9">
      <w:pPr>
        <w:pStyle w:val="ListParagraph"/>
        <w:rPr>
          <w:i/>
          <w:noProof/>
          <w:lang w:val="sq-AL"/>
        </w:rPr>
      </w:pPr>
    </w:p>
    <w:p w:rsidR="00793BD8" w:rsidRDefault="00793BD8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 q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llime, PERC-u</w:t>
      </w:r>
      <w:r>
        <w:rPr>
          <w:noProof/>
          <w:lang w:val="sq-AL"/>
        </w:rPr>
        <w:t xml:space="preserve"> dhe organizatat e interesuara parashikojn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aktivitete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r:</w:t>
      </w:r>
    </w:p>
    <w:p w:rsidR="007C3CEE" w:rsidRPr="00FE232F" w:rsidRDefault="007C3CEE" w:rsidP="007C3CEE">
      <w:pPr>
        <w:pStyle w:val="ListParagraph"/>
        <w:rPr>
          <w:noProof/>
          <w:lang w:val="sq-AL"/>
        </w:rPr>
      </w:pPr>
    </w:p>
    <w:p w:rsidR="00793BD8" w:rsidRDefault="00793BD8" w:rsidP="007C3CEE">
      <w:pPr>
        <w:pStyle w:val="ListParagraph"/>
        <w:numPr>
          <w:ilvl w:val="0"/>
          <w:numId w:val="10"/>
        </w:numPr>
        <w:jc w:val="both"/>
        <w:rPr>
          <w:noProof/>
          <w:lang w:val="sq-AL"/>
        </w:rPr>
      </w:pPr>
      <w:r>
        <w:rPr>
          <w:noProof/>
          <w:lang w:val="sq-AL"/>
        </w:rPr>
        <w:t>Forcimin e mbrojtjes s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</w:t>
      </w:r>
      <w:r w:rsidR="006D3B27">
        <w:rPr>
          <w:noProof/>
          <w:lang w:val="sq-AL"/>
        </w:rPr>
        <w:t>rregullave ekzistuese dhe shanseve p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r p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rmir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sim n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 xml:space="preserve"> periudh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n a ardhshme – bashk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punim t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 xml:space="preserve"> vazhduesh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m dhe veprime t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bashk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ta me departamentet Ligjore t</w:t>
      </w:r>
      <w:r w:rsidR="00EA5891">
        <w:rPr>
          <w:noProof/>
          <w:lang w:val="sq-AL"/>
        </w:rPr>
        <w:t>ë</w:t>
      </w:r>
      <w:r w:rsidR="00F114EC">
        <w:rPr>
          <w:noProof/>
          <w:lang w:val="sq-AL"/>
        </w:rPr>
        <w:t xml:space="preserve"> ITUC</w:t>
      </w:r>
      <w:r w:rsidR="00CE37DD">
        <w:rPr>
          <w:noProof/>
          <w:lang w:val="sq-AL"/>
        </w:rPr>
        <w:t>-ut</w:t>
      </w:r>
      <w:r w:rsidR="00F114EC">
        <w:rPr>
          <w:noProof/>
          <w:lang w:val="sq-AL"/>
        </w:rPr>
        <w:t xml:space="preserve"> dhe HTUR</w:t>
      </w:r>
      <w:r w:rsidR="00CE37DD">
        <w:rPr>
          <w:noProof/>
          <w:lang w:val="sq-AL"/>
        </w:rPr>
        <w:t>-s</w:t>
      </w:r>
      <w:r w:rsidR="00586F80">
        <w:rPr>
          <w:noProof/>
          <w:lang w:val="sq-AL"/>
        </w:rPr>
        <w:t>ë</w:t>
      </w:r>
      <w:r w:rsidR="00F114EC">
        <w:rPr>
          <w:noProof/>
          <w:lang w:val="sq-AL"/>
        </w:rPr>
        <w:t>, ETUC/ETUI dh</w:t>
      </w:r>
      <w:r w:rsidR="006D3B27">
        <w:rPr>
          <w:noProof/>
          <w:lang w:val="sq-AL"/>
        </w:rPr>
        <w:t>e Grupit t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 w:rsidR="006D3B27"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ve dhe ACTRAV dhe ILO-s</w:t>
      </w:r>
      <w:r w:rsidR="006D3B27">
        <w:rPr>
          <w:noProof/>
          <w:lang w:val="sq-AL"/>
        </w:rPr>
        <w:t>.</w:t>
      </w:r>
    </w:p>
    <w:p w:rsidR="006D3B27" w:rsidRDefault="006D3B27" w:rsidP="007C3CEE">
      <w:pPr>
        <w:pStyle w:val="ListParagraph"/>
        <w:numPr>
          <w:ilvl w:val="0"/>
          <w:numId w:val="10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rkujdesjen e rrjeteve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eksperteve sindikalist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fush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n ligjore, ekonomike</w:t>
      </w:r>
      <w:r>
        <w:rPr>
          <w:noProof/>
          <w:lang w:val="sq-AL"/>
        </w:rPr>
        <w:t>, marr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dh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niet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nd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rtuar dhe zgjeruar,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nyr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vazhdueshme, kapacitetet e organizatave,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zhvilluar strategji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fush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koordinuar</w:t>
      </w:r>
      <w:r w:rsidR="00CE37DD">
        <w:rPr>
          <w:noProof/>
          <w:lang w:val="sq-AL"/>
        </w:rPr>
        <w:t xml:space="preserve"> zbatimin</w:t>
      </w:r>
      <w:r>
        <w:rPr>
          <w:noProof/>
          <w:lang w:val="sq-AL"/>
        </w:rPr>
        <w:t>.</w:t>
      </w:r>
    </w:p>
    <w:p w:rsidR="006D3B27" w:rsidRDefault="006D3B27" w:rsidP="007C3CEE">
      <w:pPr>
        <w:pStyle w:val="ListParagraph"/>
        <w:numPr>
          <w:ilvl w:val="0"/>
          <w:numId w:val="10"/>
        </w:numPr>
        <w:jc w:val="both"/>
        <w:rPr>
          <w:noProof/>
          <w:lang w:val="sq-AL"/>
        </w:rPr>
      </w:pPr>
      <w:r>
        <w:rPr>
          <w:noProof/>
          <w:lang w:val="sq-AL"/>
        </w:rPr>
        <w:t>Organizimin e aktiviteteve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anta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vende me probleme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ngjashme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rgjigje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ngjarjeve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zhvillohen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terren.</w:t>
      </w:r>
    </w:p>
    <w:p w:rsidR="00FF5CFC" w:rsidRDefault="006D3B27" w:rsidP="006D3B27">
      <w:pPr>
        <w:pStyle w:val="ListParagraph"/>
        <w:numPr>
          <w:ilvl w:val="0"/>
          <w:numId w:val="10"/>
        </w:numPr>
        <w:jc w:val="both"/>
        <w:rPr>
          <w:noProof/>
          <w:lang w:val="sq-AL"/>
        </w:rPr>
      </w:pPr>
      <w:r>
        <w:rPr>
          <w:noProof/>
          <w:lang w:val="sq-AL"/>
        </w:rPr>
        <w:t>Komunikimin e informacionit dhe konfrontimin 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rpjekjeve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imponuar vendosjen e kushteve anti-pun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tore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programet e shp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timit dhe stabilizimit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</w:t>
      </w:r>
      <w:r w:rsidR="00CE37DD">
        <w:rPr>
          <w:noProof/>
          <w:lang w:val="sq-AL"/>
        </w:rPr>
        <w:t>IHI</w:t>
      </w:r>
      <w:r>
        <w:rPr>
          <w:noProof/>
          <w:lang w:val="sq-AL"/>
        </w:rPr>
        <w:t>-ve.</w:t>
      </w:r>
    </w:p>
    <w:p w:rsidR="006D3B27" w:rsidRPr="006D3B27" w:rsidRDefault="006D3B27" w:rsidP="006D3B27">
      <w:pPr>
        <w:pStyle w:val="ListParagraph"/>
        <w:ind w:left="1440"/>
        <w:jc w:val="both"/>
        <w:rPr>
          <w:noProof/>
          <w:lang w:val="sq-AL"/>
        </w:rPr>
      </w:pPr>
    </w:p>
    <w:p w:rsidR="00696ED8" w:rsidRPr="00C41DB2" w:rsidRDefault="006D3B27" w:rsidP="00C41DB2">
      <w:pPr>
        <w:pStyle w:val="ListParagraph"/>
        <w:numPr>
          <w:ilvl w:val="0"/>
          <w:numId w:val="16"/>
        </w:numPr>
        <w:jc w:val="both"/>
        <w:rPr>
          <w:b/>
          <w:noProof/>
          <w:lang w:val="sq-AL"/>
        </w:rPr>
      </w:pPr>
      <w:r>
        <w:rPr>
          <w:b/>
          <w:i/>
          <w:noProof/>
          <w:lang w:val="sq-AL"/>
        </w:rPr>
        <w:t>Organizimi dhe zhvillimi organizativ – rruga drejt fuqis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s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 xml:space="preserve"> v</w:t>
      </w:r>
      <w:r w:rsidR="00EA5891">
        <w:rPr>
          <w:b/>
          <w:i/>
          <w:noProof/>
          <w:lang w:val="sq-AL"/>
        </w:rPr>
        <w:t>ë</w:t>
      </w:r>
      <w:r>
        <w:rPr>
          <w:b/>
          <w:i/>
          <w:noProof/>
          <w:lang w:val="sq-AL"/>
        </w:rPr>
        <w:t>rtet</w:t>
      </w:r>
      <w:r w:rsidR="00EA5891">
        <w:rPr>
          <w:b/>
          <w:i/>
          <w:noProof/>
          <w:lang w:val="sq-AL"/>
        </w:rPr>
        <w:t>ë</w:t>
      </w:r>
    </w:p>
    <w:p w:rsidR="00536F1F" w:rsidRPr="00FE232F" w:rsidRDefault="00536F1F" w:rsidP="00536F1F">
      <w:pPr>
        <w:pStyle w:val="ListParagraph"/>
        <w:jc w:val="both"/>
        <w:rPr>
          <w:noProof/>
          <w:lang w:val="sq-AL"/>
        </w:rPr>
      </w:pPr>
    </w:p>
    <w:p w:rsidR="00851AF2" w:rsidRDefault="00851AF2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 xml:space="preserve"> disa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rjashtimeve, sindikatat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Europ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vazhduar t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humbasin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num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i madh e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patur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angazhohen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nisma organizuese aktive.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jten koh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 me disa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rjashtime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vogla, sindikatat kan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humbje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perceptimit pozitiv publik dhe besimit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ri,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risht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vendet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nshtroh</w:t>
      </w:r>
      <w:r w:rsidR="00CE37DD">
        <w:rPr>
          <w:noProof/>
          <w:lang w:val="sq-AL"/>
        </w:rPr>
        <w:t>en programeve BE-BQE-FMN. PERC-u</w:t>
      </w:r>
      <w:r>
        <w:rPr>
          <w:noProof/>
          <w:lang w:val="sq-AL"/>
        </w:rPr>
        <w:t xml:space="preserve">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koordinoj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</w:t>
      </w:r>
      <w:r w:rsidR="00AC499D">
        <w:rPr>
          <w:noProof/>
          <w:lang w:val="sq-AL"/>
        </w:rPr>
        <w:t>pjekjet p</w:t>
      </w:r>
      <w:r w:rsidR="00EA5891">
        <w:rPr>
          <w:noProof/>
          <w:lang w:val="sq-AL"/>
        </w:rPr>
        <w:t>ë</w:t>
      </w:r>
      <w:r w:rsidR="00AC499D">
        <w:rPr>
          <w:noProof/>
          <w:lang w:val="sq-AL"/>
        </w:rPr>
        <w:t>r organizim n</w:t>
      </w:r>
      <w:r w:rsidR="00EA5891">
        <w:rPr>
          <w:noProof/>
          <w:lang w:val="sq-AL"/>
        </w:rPr>
        <w:t>ë</w:t>
      </w:r>
      <w:r w:rsidR="00AC499D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AC499D">
        <w:rPr>
          <w:noProof/>
          <w:lang w:val="sq-AL"/>
        </w:rPr>
        <w:t>rmjet</w:t>
      </w:r>
    </w:p>
    <w:p w:rsidR="00CE77F0" w:rsidRPr="00FE232F" w:rsidRDefault="00CE77F0" w:rsidP="00CE77F0">
      <w:pPr>
        <w:pStyle w:val="ListParagraph"/>
        <w:jc w:val="both"/>
        <w:rPr>
          <w:noProof/>
          <w:lang w:val="sq-AL"/>
        </w:rPr>
      </w:pPr>
    </w:p>
    <w:p w:rsidR="00AC499D" w:rsidRDefault="00AC499D" w:rsidP="00CE77F0">
      <w:pPr>
        <w:pStyle w:val="ListParagraph"/>
        <w:numPr>
          <w:ilvl w:val="0"/>
          <w:numId w:val="11"/>
        </w:numPr>
        <w:jc w:val="both"/>
        <w:rPr>
          <w:noProof/>
          <w:lang w:val="sq-AL"/>
        </w:rPr>
      </w:pPr>
      <w:r>
        <w:rPr>
          <w:noProof/>
          <w:lang w:val="sq-AL"/>
        </w:rPr>
        <w:t>Ndjekjes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aktiviteteve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organizimin e sindikatave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tare dhe shp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ndarjes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rvoj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mban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rajonit.</w:t>
      </w:r>
    </w:p>
    <w:p w:rsidR="00AC499D" w:rsidRDefault="00AC499D" w:rsidP="00CE77F0">
      <w:pPr>
        <w:pStyle w:val="ListParagraph"/>
        <w:numPr>
          <w:ilvl w:val="0"/>
          <w:numId w:val="11"/>
        </w:numPr>
        <w:jc w:val="both"/>
        <w:rPr>
          <w:noProof/>
          <w:lang w:val="sq-AL"/>
        </w:rPr>
      </w:pPr>
      <w:r>
        <w:rPr>
          <w:noProof/>
          <w:lang w:val="sq-AL"/>
        </w:rPr>
        <w:lastRenderedPageBreak/>
        <w:t>Zhvillimit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kanaleve efikase t</w:t>
      </w:r>
      <w:r w:rsidR="00EA5891">
        <w:rPr>
          <w:noProof/>
          <w:lang w:val="sq-AL"/>
        </w:rPr>
        <w:t>ë</w:t>
      </w:r>
      <w:r w:rsidR="00F114EC">
        <w:rPr>
          <w:noProof/>
          <w:lang w:val="sq-AL"/>
        </w:rPr>
        <w:t xml:space="preserve"> komu</w:t>
      </w:r>
      <w:r>
        <w:rPr>
          <w:noProof/>
          <w:lang w:val="sq-AL"/>
        </w:rPr>
        <w:t>nikimit n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or</w:t>
      </w:r>
      <w:r>
        <w:rPr>
          <w:noProof/>
          <w:lang w:val="sq-AL"/>
        </w:rPr>
        <w:t>ganizatat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se dhe me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t/komunitetet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dhe veprimeve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 – trajnime me Akademin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Organizuese t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ITUC-ut aty ku</w:t>
      </w:r>
      <w:r>
        <w:rPr>
          <w:noProof/>
          <w:lang w:val="sq-AL"/>
        </w:rPr>
        <w:t xml:space="preserve"> e lejojn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kushtet, ve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risht </w:t>
      </w:r>
      <w:r w:rsidR="00025E24"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r sa i p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rket fokusimit tek t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rheqja e punonj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s</w:t>
      </w:r>
      <w:r w:rsidR="00CE37DD">
        <w:rPr>
          <w:noProof/>
          <w:lang w:val="sq-AL"/>
        </w:rPr>
        <w:t>e</w:t>
      </w:r>
      <w:r w:rsidR="00025E24">
        <w:rPr>
          <w:noProof/>
          <w:lang w:val="sq-AL"/>
        </w:rPr>
        <w:t>ve</w:t>
      </w:r>
      <w:r w:rsidR="00CE37DD">
        <w:rPr>
          <w:noProof/>
          <w:lang w:val="sq-AL"/>
        </w:rPr>
        <w:t xml:space="preserve"> femra</w:t>
      </w:r>
      <w:r w:rsidR="00025E24">
        <w:rPr>
          <w:noProof/>
          <w:lang w:val="sq-AL"/>
        </w:rPr>
        <w:t xml:space="preserve"> dhe t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 xml:space="preserve"> rinjve p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r an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>sim n</w:t>
      </w:r>
      <w:r w:rsidR="00EA5891">
        <w:rPr>
          <w:noProof/>
          <w:lang w:val="sq-AL"/>
        </w:rPr>
        <w:t>ë</w:t>
      </w:r>
      <w:r w:rsidR="00025E24">
        <w:rPr>
          <w:noProof/>
          <w:lang w:val="sq-AL"/>
        </w:rPr>
        <w:t xml:space="preserve"> sindikata. </w:t>
      </w:r>
    </w:p>
    <w:p w:rsidR="00025E24" w:rsidRDefault="00025E24" w:rsidP="00CE77F0">
      <w:pPr>
        <w:pStyle w:val="ListParagraph"/>
        <w:numPr>
          <w:ilvl w:val="0"/>
          <w:numId w:val="11"/>
        </w:numPr>
        <w:jc w:val="both"/>
        <w:rPr>
          <w:noProof/>
          <w:lang w:val="sq-AL"/>
        </w:rPr>
      </w:pPr>
      <w:r>
        <w:rPr>
          <w:noProof/>
          <w:lang w:val="sq-AL"/>
        </w:rPr>
        <w:t>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rpjekjeve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rivendosur dhe promovuar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drejtat e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s, kontrat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kolektive dhe dialogut social me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llim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shtetjen e zgjerimit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baz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rmes organizimit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an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rinj.</w:t>
      </w:r>
    </w:p>
    <w:p w:rsidR="00025E24" w:rsidRDefault="00025E24" w:rsidP="00CE77F0">
      <w:pPr>
        <w:pStyle w:val="ListParagraph"/>
        <w:numPr>
          <w:ilvl w:val="0"/>
          <w:numId w:val="11"/>
        </w:numPr>
        <w:jc w:val="both"/>
        <w:rPr>
          <w:noProof/>
          <w:lang w:val="sq-AL"/>
        </w:rPr>
      </w:pPr>
      <w:r>
        <w:rPr>
          <w:noProof/>
          <w:lang w:val="sq-AL"/>
        </w:rPr>
        <w:t>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rinjt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sistemin e arsimit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zhvilluar perceptime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dhe bot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s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pun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q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 xml:space="preserve"> </w:t>
      </w:r>
      <w:r w:rsidR="00EA5891">
        <w:rPr>
          <w:noProof/>
          <w:lang w:val="sq-AL"/>
        </w:rPr>
        <w:t>ç</w:t>
      </w:r>
      <w:r>
        <w:rPr>
          <w:noProof/>
          <w:lang w:val="sq-AL"/>
        </w:rPr>
        <w:t>on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interes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aktivitete kolektive dhe rol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sindikat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 n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shoq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ri.</w:t>
      </w:r>
    </w:p>
    <w:p w:rsidR="00343A97" w:rsidRPr="00FE232F" w:rsidRDefault="00343A97" w:rsidP="00343A97">
      <w:pPr>
        <w:pStyle w:val="ListParagraph"/>
        <w:jc w:val="both"/>
        <w:rPr>
          <w:noProof/>
          <w:lang w:val="sq-AL"/>
        </w:rPr>
      </w:pPr>
    </w:p>
    <w:p w:rsidR="00025E24" w:rsidRDefault="00025E24" w:rsidP="00A43D73">
      <w:pPr>
        <w:pStyle w:val="ListParagraph"/>
        <w:numPr>
          <w:ilvl w:val="0"/>
          <w:numId w:val="1"/>
        </w:numPr>
        <w:jc w:val="both"/>
        <w:rPr>
          <w:noProof/>
          <w:lang w:val="sq-AL"/>
        </w:rPr>
      </w:pPr>
      <w:r>
        <w:rPr>
          <w:noProof/>
          <w:lang w:val="sq-AL"/>
        </w:rPr>
        <w:t>Bashk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punimi me ILO/FES dhe SSO-t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(Zyrtar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 e Lart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Shkencor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), duhet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rgjat</w:t>
      </w:r>
      <w:r w:rsidR="00EA5891">
        <w:rPr>
          <w:noProof/>
          <w:lang w:val="sq-AL"/>
        </w:rPr>
        <w:t>ë</w:t>
      </w:r>
      <w:r w:rsidR="00AE37F4">
        <w:rPr>
          <w:noProof/>
          <w:lang w:val="sq-AL"/>
        </w:rPr>
        <w:t xml:space="preserve"> modeleve</w:t>
      </w:r>
      <w:r w:rsidR="00CE37DD">
        <w:rPr>
          <w:noProof/>
          <w:lang w:val="sq-AL"/>
        </w:rPr>
        <w:t xml:space="preserve"> </w:t>
      </w:r>
      <w:r w:rsidR="00AE37F4">
        <w:rPr>
          <w:noProof/>
          <w:lang w:val="sq-AL"/>
        </w:rPr>
        <w:t xml:space="preserve">të përbashkëta </w:t>
      </w:r>
      <w:r>
        <w:rPr>
          <w:noProof/>
          <w:lang w:val="sq-AL"/>
        </w:rPr>
        <w:t>veprimi, 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rcaktuara mir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. Rryma e p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rgjithshme e shterrimit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burimeve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disponueshme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aktivitetet sindikaliste gjat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viteve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fundit,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pritet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vazhdoj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,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shtu q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mb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shtetja nga ana e k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tyre partner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ve vet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m mund t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 xml:space="preserve"> rritet p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r nga r</w:t>
      </w:r>
      <w:r w:rsidR="00EA5891">
        <w:rPr>
          <w:noProof/>
          <w:lang w:val="sq-AL"/>
        </w:rPr>
        <w:t>ë</w:t>
      </w:r>
      <w:r>
        <w:rPr>
          <w:noProof/>
          <w:lang w:val="sq-AL"/>
        </w:rPr>
        <w:t>nd</w:t>
      </w:r>
      <w:r w:rsidR="00EA5891">
        <w:rPr>
          <w:noProof/>
          <w:lang w:val="sq-AL"/>
        </w:rPr>
        <w:t>ë</w:t>
      </w:r>
      <w:r w:rsidR="00CE37DD">
        <w:rPr>
          <w:noProof/>
          <w:lang w:val="sq-AL"/>
        </w:rPr>
        <w:t>sia. PERC-u</w:t>
      </w:r>
      <w:r>
        <w:rPr>
          <w:noProof/>
          <w:lang w:val="sq-AL"/>
        </w:rPr>
        <w:t xml:space="preserve"> duhet </w:t>
      </w:r>
      <w:r w:rsidR="00EA5891">
        <w:rPr>
          <w:noProof/>
          <w:lang w:val="sq-AL"/>
        </w:rPr>
        <w:t xml:space="preserve">të përkujdeset për zhvillimin e projektit dhe aftësitë e drejtimit të projektit në sindikatat anëtare, me qëllim që të zhvillojë kanale autonome për të grumbulluar </w:t>
      </w:r>
      <w:r w:rsidR="00CE37DD">
        <w:rPr>
          <w:noProof/>
          <w:lang w:val="sq-AL"/>
        </w:rPr>
        <w:t>mund</w:t>
      </w:r>
      <w:r w:rsidR="00586F80">
        <w:rPr>
          <w:noProof/>
          <w:lang w:val="sq-AL"/>
        </w:rPr>
        <w:t>ë</w:t>
      </w:r>
      <w:r w:rsidR="00CE37DD">
        <w:rPr>
          <w:noProof/>
          <w:lang w:val="sq-AL"/>
        </w:rPr>
        <w:t>sit</w:t>
      </w:r>
      <w:r w:rsidR="00586F80">
        <w:rPr>
          <w:noProof/>
          <w:lang w:val="sq-AL"/>
        </w:rPr>
        <w:t>ë</w:t>
      </w:r>
      <w:r w:rsidR="00EA5891">
        <w:rPr>
          <w:noProof/>
          <w:lang w:val="sq-AL"/>
        </w:rPr>
        <w:t xml:space="preserve"> ekzistuese dhe të humbura deri tani </w:t>
      </w:r>
      <w:r w:rsidR="00AE37F4">
        <w:rPr>
          <w:noProof/>
          <w:lang w:val="sq-AL"/>
        </w:rPr>
        <w:t>për financimin e nismave të tyre</w:t>
      </w:r>
      <w:r w:rsidR="00EA5891">
        <w:rPr>
          <w:noProof/>
          <w:lang w:val="sq-AL"/>
        </w:rPr>
        <w:t xml:space="preserve"> individuale. </w:t>
      </w:r>
    </w:p>
    <w:p w:rsidR="00197DA4" w:rsidRPr="00FE232F" w:rsidRDefault="00197DA4" w:rsidP="00EA5891">
      <w:pPr>
        <w:pStyle w:val="ListParagraph"/>
        <w:jc w:val="both"/>
        <w:rPr>
          <w:noProof/>
          <w:lang w:val="sq-AL"/>
        </w:rPr>
      </w:pPr>
    </w:p>
    <w:sectPr w:rsidR="00197DA4" w:rsidRPr="00FE232F" w:rsidSect="00FB20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00" w:rsidRDefault="001F0D00" w:rsidP="00823E98">
      <w:pPr>
        <w:spacing w:after="0" w:line="240" w:lineRule="auto"/>
      </w:pPr>
      <w:r>
        <w:separator/>
      </w:r>
    </w:p>
  </w:endnote>
  <w:endnote w:type="continuationSeparator" w:id="0">
    <w:p w:rsidR="001F0D00" w:rsidRDefault="001F0D00" w:rsidP="008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00" w:rsidRDefault="001F0D00" w:rsidP="00823E98">
      <w:pPr>
        <w:spacing w:after="0" w:line="240" w:lineRule="auto"/>
      </w:pPr>
      <w:r>
        <w:separator/>
      </w:r>
    </w:p>
  </w:footnote>
  <w:footnote w:type="continuationSeparator" w:id="0">
    <w:p w:rsidR="001F0D00" w:rsidRDefault="001F0D00" w:rsidP="00823E98">
      <w:pPr>
        <w:spacing w:after="0" w:line="240" w:lineRule="auto"/>
      </w:pPr>
      <w:r>
        <w:continuationSeparator/>
      </w:r>
    </w:p>
  </w:footnote>
  <w:footnote w:id="1">
    <w:p w:rsidR="00EB71B8" w:rsidRPr="0058729B" w:rsidRDefault="00EB71B8" w:rsidP="00A15A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 w:rsidRPr="00F604C8">
        <w:rPr>
          <w:b/>
          <w:i/>
          <w:noProof/>
          <w:lang w:val="sq-AL"/>
        </w:rPr>
        <w:t>Completing Europe’s Economic and Monetary Union</w:t>
      </w:r>
      <w:r>
        <w:rPr>
          <w:b/>
          <w:i/>
          <w:noProof/>
          <w:lang w:val="sq-AL"/>
        </w:rPr>
        <w:t>” (Krijimi i Unionit Ekonomik dhe Monetar të Europës)</w:t>
      </w:r>
      <w:r>
        <w:rPr>
          <w:noProof/>
          <w:lang w:val="sq-AL"/>
        </w:rPr>
        <w:t>, KE, 2015 (Raporti i Pesë Presidentëve</w:t>
      </w:r>
      <w:r w:rsidRPr="00F604C8">
        <w:rPr>
          <w:noProof/>
          <w:lang w:val="sq-AL"/>
        </w:rPr>
        <w:t xml:space="preserve">) - </w:t>
      </w:r>
      <w:hyperlink r:id="rId1" w:history="1">
        <w:r w:rsidRPr="00F604C8">
          <w:rPr>
            <w:rStyle w:val="Hyperlink"/>
            <w:noProof/>
            <w:lang w:val="sq-AL"/>
          </w:rPr>
          <w:t>http://ec.europa.eu/priorities/economic-monetary-union/docs/5-presidents-report_en.pdf</w:t>
        </w:r>
      </w:hyperlink>
      <w:r w:rsidRPr="00F604C8">
        <w:rPr>
          <w:noProof/>
          <w:lang w:val="sq-AL"/>
        </w:rPr>
        <w:t xml:space="preserve">; </w:t>
      </w:r>
      <w:r>
        <w:rPr>
          <w:noProof/>
          <w:lang w:val="sq-AL"/>
        </w:rPr>
        <w:t>Emmanuel Macron dhe</w:t>
      </w:r>
      <w:r w:rsidR="00FF2EA4">
        <w:rPr>
          <w:noProof/>
          <w:lang w:val="sq-AL"/>
        </w:rPr>
        <w:t xml:space="preserve"> </w:t>
      </w:r>
      <w:hyperlink r:id="rId2" w:history="1">
        <w:r w:rsidRPr="00F604C8">
          <w:rPr>
            <w:noProof/>
            <w:u w:val="single"/>
            <w:lang w:val="sq-AL"/>
          </w:rPr>
          <w:t>Sigmar Gabriel</w:t>
        </w:r>
      </w:hyperlink>
      <w:r w:rsidRPr="00F604C8">
        <w:rPr>
          <w:noProof/>
          <w:lang w:val="sq-AL"/>
        </w:rPr>
        <w:t xml:space="preserve">, </w:t>
      </w:r>
      <w:r>
        <w:rPr>
          <w:noProof/>
          <w:lang w:val="sq-AL"/>
        </w:rPr>
        <w:t>“</w:t>
      </w:r>
      <w:r w:rsidRPr="00F604C8">
        <w:rPr>
          <w:b/>
          <w:i/>
          <w:noProof/>
          <w:lang w:val="sq-AL"/>
        </w:rPr>
        <w:t>Europe cannot wait any longer: France and Germany must drive ahead</w:t>
      </w:r>
      <w:r>
        <w:rPr>
          <w:b/>
          <w:i/>
          <w:noProof/>
          <w:lang w:val="sq-AL"/>
        </w:rPr>
        <w:t>” (Europa nuk mund të presë më: Franca dhe Gjermania duhet të udhëheqin”</w:t>
      </w:r>
      <w:r w:rsidRPr="00F604C8">
        <w:rPr>
          <w:i/>
          <w:noProof/>
          <w:lang w:val="sq-AL"/>
        </w:rPr>
        <w:t xml:space="preserve">, </w:t>
      </w:r>
      <w:r>
        <w:rPr>
          <w:i/>
          <w:noProof/>
          <w:lang w:val="sq-AL"/>
        </w:rPr>
        <w:t>“</w:t>
      </w:r>
      <w:r w:rsidRPr="00F604C8">
        <w:rPr>
          <w:noProof/>
          <w:lang w:val="sq-AL"/>
        </w:rPr>
        <w:t>The Guardian</w:t>
      </w:r>
      <w:r>
        <w:rPr>
          <w:noProof/>
          <w:lang w:val="sq-AL"/>
        </w:rPr>
        <w:t>”, 3 qershor</w:t>
      </w:r>
      <w:r w:rsidRPr="00F604C8">
        <w:rPr>
          <w:noProof/>
          <w:lang w:val="sq-AL"/>
        </w:rPr>
        <w:t xml:space="preserve"> 2015 - </w:t>
      </w:r>
      <w:hyperlink r:id="rId3" w:history="1">
        <w:r w:rsidRPr="00F604C8">
          <w:rPr>
            <w:rStyle w:val="Hyperlink"/>
            <w:noProof/>
            <w:lang w:val="sq-AL"/>
          </w:rPr>
          <w:t>http://www.theguardian.com/commentisfree/2015/jun/03/europe-france-germany-eu-eurozone-future-integrate</w:t>
        </w:r>
      </w:hyperlink>
      <w:r w:rsidRPr="00F604C8">
        <w:rPr>
          <w:noProof/>
          <w:sz w:val="22"/>
          <w:szCs w:val="22"/>
          <w:lang w:val="sq-AL"/>
        </w:rPr>
        <w:t xml:space="preserve">; </w:t>
      </w:r>
      <w:r w:rsidRPr="00F604C8">
        <w:rPr>
          <w:noProof/>
          <w:lang w:val="sq-AL"/>
        </w:rPr>
        <w:t xml:space="preserve">Jean-Claude Juncker, </w:t>
      </w:r>
      <w:r>
        <w:rPr>
          <w:noProof/>
          <w:lang w:val="sq-AL"/>
        </w:rPr>
        <w:t>“</w:t>
      </w:r>
      <w:r w:rsidRPr="00F604C8">
        <w:rPr>
          <w:b/>
          <w:i/>
          <w:noProof/>
          <w:lang w:val="sq-AL"/>
        </w:rPr>
        <w:t>A New Start for Europe: My Agenda for Jobs, Growth, Fairness and Democratic Change</w:t>
      </w:r>
      <w:r>
        <w:rPr>
          <w:b/>
          <w:i/>
          <w:noProof/>
          <w:lang w:val="sq-AL"/>
        </w:rPr>
        <w:t>” (Një Fillimi i Ri për Europën: Plani Im për Vende Pune, Rritje, Ndershmëri dhe Ndryshim Demokaratik)</w:t>
      </w:r>
      <w:r>
        <w:rPr>
          <w:noProof/>
          <w:lang w:val="sq-AL"/>
        </w:rPr>
        <w:t>, korrik</w:t>
      </w:r>
      <w:r w:rsidRPr="00F604C8">
        <w:rPr>
          <w:noProof/>
          <w:lang w:val="sq-AL"/>
        </w:rPr>
        <w:t xml:space="preserve"> 2014 - </w:t>
      </w:r>
      <w:hyperlink r:id="rId4" w:history="1">
        <w:r w:rsidRPr="00F604C8">
          <w:rPr>
            <w:rStyle w:val="Hyperlink"/>
            <w:noProof/>
            <w:lang w:val="sq-AL"/>
          </w:rPr>
          <w:t>http://ec.europa.eu/priorities/docs/pg_en.pdf</w:t>
        </w:r>
      </w:hyperlink>
    </w:p>
  </w:footnote>
  <w:footnote w:id="2">
    <w:p w:rsidR="00EB71B8" w:rsidRPr="009322F6" w:rsidRDefault="00EB71B8">
      <w:pPr>
        <w:pStyle w:val="FootnoteText"/>
      </w:pPr>
      <w:r>
        <w:rPr>
          <w:rStyle w:val="FootnoteReference"/>
        </w:rPr>
        <w:footnoteRef/>
      </w:r>
      <w:hyperlink r:id="rId5" w:history="1">
        <w:r w:rsidRPr="00BE51E3">
          <w:rPr>
            <w:rStyle w:val="Hyperlink"/>
          </w:rPr>
          <w:t>http://www.oecd.org/statistics/how-was-life-9789264214262-en.htm</w:t>
        </w:r>
      </w:hyperlink>
    </w:p>
  </w:footnote>
  <w:footnote w:id="3">
    <w:p w:rsidR="00EB71B8" w:rsidRPr="009322F6" w:rsidRDefault="00EB71B8">
      <w:pPr>
        <w:pStyle w:val="FootnoteText"/>
      </w:pPr>
      <w:r>
        <w:rPr>
          <w:rStyle w:val="FootnoteReference"/>
        </w:rPr>
        <w:footnoteRef/>
      </w:r>
      <w:hyperlink r:id="rId6" w:history="1">
        <w:r w:rsidRPr="00BE51E3">
          <w:rPr>
            <w:rStyle w:val="Hyperlink"/>
          </w:rPr>
          <w:t>https://www.imf.org/external/np/speeches/2014/020314.htm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696"/>
    <w:multiLevelType w:val="hybridMultilevel"/>
    <w:tmpl w:val="CFD49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917DF"/>
    <w:multiLevelType w:val="hybridMultilevel"/>
    <w:tmpl w:val="D8DCECCA"/>
    <w:lvl w:ilvl="0" w:tplc="08090013">
      <w:start w:val="1"/>
      <w:numFmt w:val="upperRoman"/>
      <w:lvlText w:val="%1."/>
      <w:lvlJc w:val="righ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260952CE"/>
    <w:multiLevelType w:val="hybridMultilevel"/>
    <w:tmpl w:val="E0802DF6"/>
    <w:lvl w:ilvl="0" w:tplc="7F288B06">
      <w:start w:val="1"/>
      <w:numFmt w:val="upperRoman"/>
      <w:lvlText w:val="%1."/>
      <w:lvlJc w:val="right"/>
      <w:pPr>
        <w:ind w:left="1579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42690560"/>
    <w:multiLevelType w:val="hybridMultilevel"/>
    <w:tmpl w:val="A19ED7FE"/>
    <w:lvl w:ilvl="0" w:tplc="080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4">
    <w:nsid w:val="46D236BB"/>
    <w:multiLevelType w:val="hybridMultilevel"/>
    <w:tmpl w:val="676E82A8"/>
    <w:lvl w:ilvl="0" w:tplc="98A0D7C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93CF1"/>
    <w:multiLevelType w:val="hybridMultilevel"/>
    <w:tmpl w:val="67B86FC8"/>
    <w:lvl w:ilvl="0" w:tplc="0402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>
    <w:nsid w:val="4F2D3F8F"/>
    <w:multiLevelType w:val="hybridMultilevel"/>
    <w:tmpl w:val="1638E3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90620"/>
    <w:multiLevelType w:val="hybridMultilevel"/>
    <w:tmpl w:val="73DC3898"/>
    <w:lvl w:ilvl="0" w:tplc="0402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>
    <w:nsid w:val="6140210D"/>
    <w:multiLevelType w:val="hybridMultilevel"/>
    <w:tmpl w:val="375AF6C0"/>
    <w:lvl w:ilvl="0" w:tplc="0809000F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9">
    <w:nsid w:val="63FD2DA0"/>
    <w:multiLevelType w:val="hybridMultilevel"/>
    <w:tmpl w:val="2E4453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B2435"/>
    <w:multiLevelType w:val="hybridMultilevel"/>
    <w:tmpl w:val="D8DCECCA"/>
    <w:lvl w:ilvl="0" w:tplc="08090013">
      <w:start w:val="1"/>
      <w:numFmt w:val="upperRoman"/>
      <w:lvlText w:val="%1."/>
      <w:lvlJc w:val="righ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1">
    <w:nsid w:val="697E57A5"/>
    <w:multiLevelType w:val="hybridMultilevel"/>
    <w:tmpl w:val="1870EC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D3001"/>
    <w:multiLevelType w:val="hybridMultilevel"/>
    <w:tmpl w:val="8EC6BFE6"/>
    <w:lvl w:ilvl="0" w:tplc="0402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3">
    <w:nsid w:val="6E1436A6"/>
    <w:multiLevelType w:val="hybridMultilevel"/>
    <w:tmpl w:val="2794C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8309D"/>
    <w:multiLevelType w:val="hybridMultilevel"/>
    <w:tmpl w:val="41ACDF8C"/>
    <w:lvl w:ilvl="0" w:tplc="04020015">
      <w:start w:val="1"/>
      <w:numFmt w:val="upperLetter"/>
      <w:lvlText w:val="%1."/>
      <w:lvlJc w:val="left"/>
      <w:pPr>
        <w:ind w:left="157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5">
    <w:nsid w:val="786C0DCD"/>
    <w:multiLevelType w:val="hybridMultilevel"/>
    <w:tmpl w:val="2B0CDA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AA46EB"/>
    <w:multiLevelType w:val="multilevel"/>
    <w:tmpl w:val="E0802DF6"/>
    <w:lvl w:ilvl="0">
      <w:start w:val="1"/>
      <w:numFmt w:val="upperRoman"/>
      <w:lvlText w:val="%1."/>
      <w:lvlJc w:val="right"/>
      <w:pPr>
        <w:ind w:left="157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7">
    <w:nsid w:val="7D8B1514"/>
    <w:multiLevelType w:val="hybridMultilevel"/>
    <w:tmpl w:val="AD3095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1"/>
    <w:rsid w:val="000061D9"/>
    <w:rsid w:val="00014EE9"/>
    <w:rsid w:val="00025E24"/>
    <w:rsid w:val="0003053E"/>
    <w:rsid w:val="00043EA9"/>
    <w:rsid w:val="00045E06"/>
    <w:rsid w:val="00060AA0"/>
    <w:rsid w:val="00061240"/>
    <w:rsid w:val="00070AB5"/>
    <w:rsid w:val="00081525"/>
    <w:rsid w:val="0009319B"/>
    <w:rsid w:val="000B2729"/>
    <w:rsid w:val="000B2BC2"/>
    <w:rsid w:val="000B3A97"/>
    <w:rsid w:val="000E0702"/>
    <w:rsid w:val="000E0986"/>
    <w:rsid w:val="000E1808"/>
    <w:rsid w:val="00113DF4"/>
    <w:rsid w:val="00135988"/>
    <w:rsid w:val="00151C77"/>
    <w:rsid w:val="0017575B"/>
    <w:rsid w:val="00190DD2"/>
    <w:rsid w:val="00197DA4"/>
    <w:rsid w:val="001A13A4"/>
    <w:rsid w:val="001A5D33"/>
    <w:rsid w:val="001D2A6E"/>
    <w:rsid w:val="001D6DFA"/>
    <w:rsid w:val="001E4444"/>
    <w:rsid w:val="001F0D00"/>
    <w:rsid w:val="002050EE"/>
    <w:rsid w:val="002331E3"/>
    <w:rsid w:val="00235903"/>
    <w:rsid w:val="00245217"/>
    <w:rsid w:val="002505F8"/>
    <w:rsid w:val="00264878"/>
    <w:rsid w:val="002829E3"/>
    <w:rsid w:val="00287131"/>
    <w:rsid w:val="002A2D9A"/>
    <w:rsid w:val="002A4806"/>
    <w:rsid w:val="002B2965"/>
    <w:rsid w:val="002F4CD6"/>
    <w:rsid w:val="0030727F"/>
    <w:rsid w:val="00310BBD"/>
    <w:rsid w:val="00320C74"/>
    <w:rsid w:val="00323C5E"/>
    <w:rsid w:val="00343A97"/>
    <w:rsid w:val="00344BBC"/>
    <w:rsid w:val="00344F4D"/>
    <w:rsid w:val="0035362B"/>
    <w:rsid w:val="003541E4"/>
    <w:rsid w:val="0037741D"/>
    <w:rsid w:val="003A36E1"/>
    <w:rsid w:val="003B06ED"/>
    <w:rsid w:val="003B151D"/>
    <w:rsid w:val="003B7677"/>
    <w:rsid w:val="003C7336"/>
    <w:rsid w:val="003D001E"/>
    <w:rsid w:val="003D34A5"/>
    <w:rsid w:val="003D3DE3"/>
    <w:rsid w:val="003E288C"/>
    <w:rsid w:val="003E6A1F"/>
    <w:rsid w:val="00403A80"/>
    <w:rsid w:val="00414102"/>
    <w:rsid w:val="00457C1B"/>
    <w:rsid w:val="0048107C"/>
    <w:rsid w:val="00484340"/>
    <w:rsid w:val="00495C16"/>
    <w:rsid w:val="004A3CE5"/>
    <w:rsid w:val="004A4D9D"/>
    <w:rsid w:val="004B56F5"/>
    <w:rsid w:val="004B6918"/>
    <w:rsid w:val="004C1922"/>
    <w:rsid w:val="004C68B1"/>
    <w:rsid w:val="004C78F2"/>
    <w:rsid w:val="004C7B37"/>
    <w:rsid w:val="00531533"/>
    <w:rsid w:val="00536F1F"/>
    <w:rsid w:val="00555927"/>
    <w:rsid w:val="00566296"/>
    <w:rsid w:val="0057142D"/>
    <w:rsid w:val="00581321"/>
    <w:rsid w:val="00586F80"/>
    <w:rsid w:val="005D31F3"/>
    <w:rsid w:val="005D5776"/>
    <w:rsid w:val="005D7F76"/>
    <w:rsid w:val="005F3908"/>
    <w:rsid w:val="00611C2D"/>
    <w:rsid w:val="00621798"/>
    <w:rsid w:val="00644ED1"/>
    <w:rsid w:val="0064654F"/>
    <w:rsid w:val="00661ADB"/>
    <w:rsid w:val="00662B89"/>
    <w:rsid w:val="006701DF"/>
    <w:rsid w:val="00674598"/>
    <w:rsid w:val="00675DE4"/>
    <w:rsid w:val="00676309"/>
    <w:rsid w:val="006805C1"/>
    <w:rsid w:val="0068206F"/>
    <w:rsid w:val="00685766"/>
    <w:rsid w:val="006933C0"/>
    <w:rsid w:val="0069662A"/>
    <w:rsid w:val="00696ED8"/>
    <w:rsid w:val="006B5762"/>
    <w:rsid w:val="006C582C"/>
    <w:rsid w:val="006D3B27"/>
    <w:rsid w:val="006E1132"/>
    <w:rsid w:val="006E4C52"/>
    <w:rsid w:val="006F1091"/>
    <w:rsid w:val="006F5AF6"/>
    <w:rsid w:val="006F6899"/>
    <w:rsid w:val="00705244"/>
    <w:rsid w:val="007143E2"/>
    <w:rsid w:val="00714905"/>
    <w:rsid w:val="0072605D"/>
    <w:rsid w:val="00741826"/>
    <w:rsid w:val="00747627"/>
    <w:rsid w:val="00750355"/>
    <w:rsid w:val="0075203F"/>
    <w:rsid w:val="00761CE6"/>
    <w:rsid w:val="00764EFB"/>
    <w:rsid w:val="00785608"/>
    <w:rsid w:val="00793BD8"/>
    <w:rsid w:val="007941D1"/>
    <w:rsid w:val="007A4D0B"/>
    <w:rsid w:val="007C3CEE"/>
    <w:rsid w:val="007C6381"/>
    <w:rsid w:val="007C64F9"/>
    <w:rsid w:val="007D4109"/>
    <w:rsid w:val="007E2BAB"/>
    <w:rsid w:val="0080430A"/>
    <w:rsid w:val="00811910"/>
    <w:rsid w:val="00813C9F"/>
    <w:rsid w:val="00821D07"/>
    <w:rsid w:val="00823E98"/>
    <w:rsid w:val="008352DA"/>
    <w:rsid w:val="00842A59"/>
    <w:rsid w:val="00845DAC"/>
    <w:rsid w:val="00851AF2"/>
    <w:rsid w:val="00871715"/>
    <w:rsid w:val="00871D67"/>
    <w:rsid w:val="008822B6"/>
    <w:rsid w:val="0088549F"/>
    <w:rsid w:val="0089441D"/>
    <w:rsid w:val="008C3D6C"/>
    <w:rsid w:val="008D168A"/>
    <w:rsid w:val="008F6EE5"/>
    <w:rsid w:val="009322F6"/>
    <w:rsid w:val="009328DF"/>
    <w:rsid w:val="009416ED"/>
    <w:rsid w:val="00956633"/>
    <w:rsid w:val="00957114"/>
    <w:rsid w:val="00981127"/>
    <w:rsid w:val="00982104"/>
    <w:rsid w:val="009940A9"/>
    <w:rsid w:val="009A3DE5"/>
    <w:rsid w:val="009A77D2"/>
    <w:rsid w:val="009A7A0B"/>
    <w:rsid w:val="009B16A2"/>
    <w:rsid w:val="009D6965"/>
    <w:rsid w:val="009E08CE"/>
    <w:rsid w:val="009E6683"/>
    <w:rsid w:val="009F0D88"/>
    <w:rsid w:val="00A03DA5"/>
    <w:rsid w:val="00A04E9F"/>
    <w:rsid w:val="00A15AF9"/>
    <w:rsid w:val="00A22A97"/>
    <w:rsid w:val="00A246E8"/>
    <w:rsid w:val="00A2770B"/>
    <w:rsid w:val="00A43D73"/>
    <w:rsid w:val="00A4622E"/>
    <w:rsid w:val="00A5101F"/>
    <w:rsid w:val="00A539A8"/>
    <w:rsid w:val="00A8011F"/>
    <w:rsid w:val="00A85477"/>
    <w:rsid w:val="00AA305F"/>
    <w:rsid w:val="00AA3360"/>
    <w:rsid w:val="00AB486D"/>
    <w:rsid w:val="00AC203F"/>
    <w:rsid w:val="00AC499D"/>
    <w:rsid w:val="00AE2F30"/>
    <w:rsid w:val="00AE37F4"/>
    <w:rsid w:val="00B065CA"/>
    <w:rsid w:val="00B072E7"/>
    <w:rsid w:val="00B075A4"/>
    <w:rsid w:val="00B1197D"/>
    <w:rsid w:val="00B403DB"/>
    <w:rsid w:val="00B46EFC"/>
    <w:rsid w:val="00B52C86"/>
    <w:rsid w:val="00B6537A"/>
    <w:rsid w:val="00B735B4"/>
    <w:rsid w:val="00B8508F"/>
    <w:rsid w:val="00B90CBF"/>
    <w:rsid w:val="00B91C9F"/>
    <w:rsid w:val="00BB1DBA"/>
    <w:rsid w:val="00BB247D"/>
    <w:rsid w:val="00BB5D47"/>
    <w:rsid w:val="00BD75CA"/>
    <w:rsid w:val="00BF6374"/>
    <w:rsid w:val="00C00668"/>
    <w:rsid w:val="00C064F5"/>
    <w:rsid w:val="00C138EF"/>
    <w:rsid w:val="00C3006A"/>
    <w:rsid w:val="00C33038"/>
    <w:rsid w:val="00C341D5"/>
    <w:rsid w:val="00C41DB2"/>
    <w:rsid w:val="00C4744F"/>
    <w:rsid w:val="00C60E36"/>
    <w:rsid w:val="00C72B2C"/>
    <w:rsid w:val="00C84C7B"/>
    <w:rsid w:val="00C934D3"/>
    <w:rsid w:val="00CA08F8"/>
    <w:rsid w:val="00CA665C"/>
    <w:rsid w:val="00CB2488"/>
    <w:rsid w:val="00CB2862"/>
    <w:rsid w:val="00CD46E3"/>
    <w:rsid w:val="00CD743D"/>
    <w:rsid w:val="00CE13D2"/>
    <w:rsid w:val="00CE37DD"/>
    <w:rsid w:val="00CE77F0"/>
    <w:rsid w:val="00CF11AA"/>
    <w:rsid w:val="00D13EBA"/>
    <w:rsid w:val="00D25BA7"/>
    <w:rsid w:val="00D368DF"/>
    <w:rsid w:val="00D450A8"/>
    <w:rsid w:val="00D61219"/>
    <w:rsid w:val="00D80E33"/>
    <w:rsid w:val="00DA5347"/>
    <w:rsid w:val="00DB6117"/>
    <w:rsid w:val="00DC110D"/>
    <w:rsid w:val="00DD42DC"/>
    <w:rsid w:val="00DE1EF1"/>
    <w:rsid w:val="00DF4C3C"/>
    <w:rsid w:val="00E0253C"/>
    <w:rsid w:val="00E025BB"/>
    <w:rsid w:val="00E02A08"/>
    <w:rsid w:val="00E12BD6"/>
    <w:rsid w:val="00E256CA"/>
    <w:rsid w:val="00E43DBC"/>
    <w:rsid w:val="00E645B1"/>
    <w:rsid w:val="00E664BA"/>
    <w:rsid w:val="00E74DD2"/>
    <w:rsid w:val="00E92961"/>
    <w:rsid w:val="00EA5891"/>
    <w:rsid w:val="00EB1D2B"/>
    <w:rsid w:val="00EB71B8"/>
    <w:rsid w:val="00ED380D"/>
    <w:rsid w:val="00EE15A6"/>
    <w:rsid w:val="00EE7A82"/>
    <w:rsid w:val="00F0577D"/>
    <w:rsid w:val="00F114EC"/>
    <w:rsid w:val="00F12C41"/>
    <w:rsid w:val="00F24082"/>
    <w:rsid w:val="00F27412"/>
    <w:rsid w:val="00F31219"/>
    <w:rsid w:val="00F32E8B"/>
    <w:rsid w:val="00F46193"/>
    <w:rsid w:val="00F51B1B"/>
    <w:rsid w:val="00F604C8"/>
    <w:rsid w:val="00F73CA2"/>
    <w:rsid w:val="00F75320"/>
    <w:rsid w:val="00F83DC0"/>
    <w:rsid w:val="00F93BEA"/>
    <w:rsid w:val="00FB20A6"/>
    <w:rsid w:val="00FB28C6"/>
    <w:rsid w:val="00FB42E7"/>
    <w:rsid w:val="00FC372D"/>
    <w:rsid w:val="00FC4CF1"/>
    <w:rsid w:val="00FC7304"/>
    <w:rsid w:val="00FD3966"/>
    <w:rsid w:val="00FE232F"/>
    <w:rsid w:val="00FF2EA4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E9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B20A6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B20A6"/>
    <w:rPr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E9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B20A6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B20A6"/>
    <w:rPr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guardian.com/commentisfree/2015/jun/03/europe-france-germany-eu-eurozone-future-integrate" TargetMode="External"/><Relationship Id="rId2" Type="http://schemas.openxmlformats.org/officeDocument/2006/relationships/hyperlink" Target="http://www.theguardian.com/profile/sigmar-gabriel" TargetMode="External"/><Relationship Id="rId1" Type="http://schemas.openxmlformats.org/officeDocument/2006/relationships/hyperlink" Target="http://ec.europa.eu/priorities/economic-monetary-union/docs/5-presidents-report_en.pdf" TargetMode="External"/><Relationship Id="rId6" Type="http://schemas.openxmlformats.org/officeDocument/2006/relationships/hyperlink" Target="https://www.imf.org/external/np/speeches/2014/020314.htm" TargetMode="External"/><Relationship Id="rId5" Type="http://schemas.openxmlformats.org/officeDocument/2006/relationships/hyperlink" Target="http://www.oecd.org/statistics/how-was-life-9789264214262-en.htm" TargetMode="External"/><Relationship Id="rId4" Type="http://schemas.openxmlformats.org/officeDocument/2006/relationships/hyperlink" Target="http://ec.europa.eu/priorities/docs/pg_en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9084-854E-432D-AFE3-AA09259C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5385</Words>
  <Characters>30696</Characters>
  <Application>Microsoft Office Word</Application>
  <DocSecurity>4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150925 document</vt:lpstr>
      <vt:lpstr/>
    </vt:vector>
  </TitlesOfParts>
  <Company>International Trade Union Confederation</Company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150929 document</dc:title>
  <dc:creator>Rossitsa Gradeva</dc:creator>
  <cp:lastModifiedBy>Petra Winkler</cp:lastModifiedBy>
  <cp:revision>2</cp:revision>
  <dcterms:created xsi:type="dcterms:W3CDTF">2015-09-29T10:06:00Z</dcterms:created>
  <dcterms:modified xsi:type="dcterms:W3CDTF">2015-09-29T10:06:00Z</dcterms:modified>
</cp:coreProperties>
</file>