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BC8" w:rsidRPr="00672BC8" w:rsidRDefault="004A59E2" w:rsidP="00672BC8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>„</w:t>
      </w:r>
      <w:r w:rsidR="00672BC8" w:rsidRPr="00672BC8"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 xml:space="preserve">B-Ready” </w:t>
      </w:r>
      <w:r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>(Indeks spremnosti za poslovanje</w:t>
      </w:r>
      <w:r w:rsidR="00641C4E"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 xml:space="preserve"> ili </w:t>
      </w:r>
      <w:r w:rsidR="00641C4E" w:rsidRPr="00641C4E">
        <w:rPr>
          <w:rFonts w:ascii="Calibri" w:eastAsia="Times New Roman" w:hAnsi="Calibri" w:cs="Calibri"/>
          <w:b/>
          <w:bCs/>
          <w:i/>
          <w:iCs/>
          <w:sz w:val="28"/>
          <w:szCs w:val="28"/>
          <w:lang w:val="hr-HR" w:eastAsia="en-GB"/>
        </w:rPr>
        <w:t>Budite spremni</w:t>
      </w:r>
      <w:r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 xml:space="preserve">) </w:t>
      </w:r>
      <w:r w:rsidR="008C11D5"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>će potkopati radnička prava i socijalnu zaštitu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</w:pPr>
    </w:p>
    <w:p w:rsidR="00672BC8" w:rsidRPr="00672BC8" w:rsidRDefault="008C11D5" w:rsidP="00672BC8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Bez obzira na razrađenu metriku i obećanja kako će uključiti standarde rada</w:t>
      </w:r>
      <w:r w:rsidR="00672BC8" w:rsidRPr="00672BC8"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 xml:space="preserve">, B-Ready </w:t>
      </w:r>
      <w:r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će promovirati urušavanje standarda rada širom planete i potkopati socijalnu zaštitu</w:t>
      </w:r>
      <w:r w:rsidR="00672BC8" w:rsidRPr="00672BC8"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.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8C11D5" w:rsidP="00672BC8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Indeks spremnosti za poslovanje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(“B-Ready”)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ocjenjuje države u deset različitih „tema“ koje utječu na poslovno okruženje i rangira države na osnovu dobijenih ocjena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Odnos između radnika i njihovih poslodavaca ne može se, između ostaloga, karakterizirati jednostavnim zbirom metrika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;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ovo je jedan upitan odnos zasnovan na pravnom okviru pregovora, potpomognut socijalnim dijalogom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smatra da se ovim postiže ravnoteža između potrebe za zaštitom radnika i potrebe preduzeća da imaju fleksibilnost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ali ne uspijeva u tome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Na način kako je sada zamišljen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će promovirati niske plate i neizvjestan rad, dok u isto vrijeme potkopava socijalnu zaštitu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Sindikate brine činjenica da ovo služi kao nastavak trke </w:t>
      </w:r>
      <w:r w:rsidR="0045251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država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ka dnu, na osnovu pristra</w:t>
      </w:r>
      <w:r w:rsidR="00452515">
        <w:rPr>
          <w:rFonts w:ascii="Calibri" w:eastAsia="Times New Roman" w:hAnsi="Calibri" w:cs="Calibri"/>
          <w:sz w:val="22"/>
          <w:szCs w:val="22"/>
          <w:lang w:val="hr-HR" w:eastAsia="en-GB"/>
        </w:rPr>
        <w:t>s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nih kriterija i loše pripremljene metodologije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672BC8" w:rsidP="00672BC8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 w:rsidR="00DD2ADC">
        <w:rPr>
          <w:rFonts w:ascii="Calibri" w:eastAsia="Times New Roman" w:hAnsi="Calibri" w:cs="Calibri"/>
          <w:sz w:val="22"/>
          <w:szCs w:val="22"/>
          <w:lang w:val="hr-HR" w:eastAsia="en-GB"/>
        </w:rPr>
        <w:t>prati i, u određenoj mjeri, promovira mjere koje su temeljno važne za radnike, uključujući slobodu udruživanja, kolektivno pregovaranje, ukidanje dječijeg rada, nediskriminaciju i zaštitu zdravlja i sigurnosti na radu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 w:rsidR="00DD2ADC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Ovo je pozitivan korak.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Ali, ovaj projekat samo razmatra socijalne pogodnosti onoga što zakon </w:t>
      </w:r>
      <w:r w:rsidR="006D0906" w:rsidRPr="006D0906"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de facto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propisuje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>Dok gotovo sve države svijeta prop</w:t>
      </w:r>
      <w:r w:rsidR="00EE1A01">
        <w:rPr>
          <w:rFonts w:ascii="Calibri" w:eastAsia="Times New Roman" w:hAnsi="Calibri" w:cs="Calibri"/>
          <w:sz w:val="22"/>
          <w:szCs w:val="22"/>
          <w:lang w:val="hr-HR" w:eastAsia="en-GB"/>
        </w:rPr>
        <w:t>i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suju 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u zakonima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>određeni stepen zaštite zdravlja i sigurnosti na radu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>primjena zakona i njegovi utjecaji ostaju relevantna mjera za razumijevanje uslova rada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Nadalje, MOR Temeljni principi i Prava na rad su daleko više od puke liste za provjeru, kojom se oni </w:t>
      </w:r>
      <w:r w:rsidR="004A59E2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odmjeravaju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>u odnosu na druge faktore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Način na koji je trenutno zamišljen, 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 w:rsidR="006D0906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ne promovira dostojanstven rad u svijetu, niti će dosljedno promovirati MOR temeljne standarde rada, već će umjesto toga služiti </w:t>
      </w:r>
      <w:r w:rsidR="000C074E">
        <w:rPr>
          <w:rFonts w:ascii="Calibri" w:eastAsia="Times New Roman" w:hAnsi="Calibri" w:cs="Calibri"/>
          <w:sz w:val="22"/>
          <w:szCs w:val="22"/>
          <w:lang w:val="hr-HR" w:eastAsia="en-GB"/>
        </w:rPr>
        <w:t>da potkopa funkcionalna tržišta rada tako što će sav teret prebaciti na rezanje troškova i zaštitu radnika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4A59E2" w:rsidP="00672BC8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MKS je zabrinut i zbog metodologije i politika u vezi sa načinom kako je zamišljena tema o radu u izvještaju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B-Ready 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kako bi se ovo moglo provesti u djelo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te se mi stoga protivimo uključivanju ove teme u rangiranje koje provodi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S tim u vezi, mi se slažemo sa </w:t>
      </w:r>
      <w:r>
        <w:rPr>
          <w:rFonts w:ascii="Calibri" w:eastAsia="Times New Roman" w:hAnsi="Calibri" w:cs="Calibri"/>
          <w:color w:val="0260BF"/>
          <w:sz w:val="22"/>
          <w:szCs w:val="22"/>
          <w:lang w:val="hr-HR" w:eastAsia="en-GB"/>
        </w:rPr>
        <w:t xml:space="preserve">Vanjskim odborom za analizu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kojeg je Svjetska banka angažirala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2020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. godine da istraži navode iz Izvještaja o poslovanju (</w:t>
      </w:r>
      <w:r w:rsidR="00672BC8" w:rsidRPr="00672BC8"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Doing Business Report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), kojim se daje preporuka da Banka može koristiti indikator „Obnoviti i unaprijediti </w:t>
      </w:r>
      <w:r w:rsidR="00967A3F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'zapošljavanja radnika' u okviru indikatora za izradu izvještaja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Doing Business, </w:t>
      </w:r>
      <w:r w:rsidR="00967A3F">
        <w:rPr>
          <w:rFonts w:ascii="Calibri" w:eastAsia="Times New Roman" w:hAnsi="Calibri" w:cs="Calibri"/>
          <w:sz w:val="22"/>
          <w:szCs w:val="22"/>
          <w:lang w:val="hr-HR" w:eastAsia="en-GB"/>
        </w:rPr>
        <w:t>ali da ne može izvršiti rangiranje država po osnovu takvih informacija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  <w:r w:rsidR="00967A3F">
        <w:rPr>
          <w:rFonts w:ascii="Calibri" w:eastAsia="Times New Roman" w:hAnsi="Calibri" w:cs="Calibri"/>
          <w:sz w:val="22"/>
          <w:szCs w:val="22"/>
          <w:lang w:val="hr-HR" w:eastAsia="en-GB"/>
        </w:rPr>
        <w:t>“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</w:pPr>
    </w:p>
    <w:p w:rsidR="00672BC8" w:rsidRPr="00672BC8" w:rsidRDefault="00967A3F" w:rsidP="00672BC8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  <w:t xml:space="preserve">Pristup izvještaja </w:t>
      </w:r>
      <w:r w:rsidR="00672BC8" w:rsidRPr="00672BC8"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  <w:t>B-Ready</w:t>
      </w:r>
      <w:r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  <w:t xml:space="preserve"> kod ocjenjivanja promovira niske plate i neizvjesnost</w:t>
      </w:r>
    </w:p>
    <w:p w:rsidR="00672BC8" w:rsidRPr="008C11D5" w:rsidRDefault="00672BC8" w:rsidP="00672BC8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</w:p>
    <w:p w:rsidR="00672BC8" w:rsidRPr="008C11D5" w:rsidRDefault="00BA5969" w:rsidP="00672BC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Dok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B-Ready do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djeljuje bodove državama koje imaju minimalnu platu u privatnom sektoru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ator 1.1.1)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– propisanu zakonom ili dogovorenu kolektivnim ugovorom – ni u jednom trenutku se ne razmatra pitanje dovoljnosti minimalne plate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Nadalje, sistem ocjenjivanja ozbiljno potkopava ciljeve dovoljnosti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. N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e samo da su bodovi dodijeljeni za postojanje minimalne plate potkopani bodovima dodijeljenim za plate koje ne predstavljaju teret za preduzeća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ator 1.2.2),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već je i indikator plate dodatno urušen težinom koja se daje niskim troškovima rada u strukturi ankete 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u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preduzeć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>im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a u vezi zapošljavanja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ator 3.2).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BA5969" w:rsidP="00672BC8">
      <w:pPr>
        <w:ind w:left="720"/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Određivanje minimalne plate je složen društveni proces koji se ne može svesti na jednu mjeru zasnovanu na izračunima ekonomista, niti se može prepustiti jednostavnoj procjeni preduzeća da utvrde da li 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bi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mogl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>a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zaposliti veći broj radnika sa nižim platama – koju ne prati nikakva analiza da li je njihovo poslovanje u stvari produktivno i da li raste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672BC8" w:rsidRDefault="00672BC8" w:rsidP="00672BC8">
      <w:pPr>
        <w:jc w:val="both"/>
        <w:rPr>
          <w:rFonts w:ascii="Times New Roman" w:eastAsia="Times New Roman" w:hAnsi="Times New Roman" w:cs="Times New Roman"/>
          <w:lang w:val="hr-HR" w:eastAsia="en-GB"/>
        </w:rPr>
      </w:pPr>
    </w:p>
    <w:p w:rsidR="00672BC8" w:rsidRPr="00672BC8" w:rsidRDefault="00710B9B" w:rsidP="00672BC8">
      <w:pPr>
        <w:numPr>
          <w:ilvl w:val="0"/>
          <w:numId w:val="1"/>
        </w:num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Po sličnom principu,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dodjeljuje bodove državama koje moraju isplatiti otpremninu i dostaviti pismo u kojem se izražava namjera o otpuštanju radnika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ator 1.1.5).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Ali, po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lastRenderedPageBreak/>
        <w:t>istom mehanizmu kao i kod plata, potkopava ove bodove djelovanjem u dva pravca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: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prvo, dodjelom dodatnih bodova za fleksibilnost u rješavanju ovih pitanja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ator 1.2.5), a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konačno i davanjem velike važnosti procjeni kojom preduzeća utvrđuju da li se u njihovoj državi zahtijeva tegoban period prije otpuštanja radnika ili iznos otpremnine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ator 3.2).</w:t>
      </w:r>
    </w:p>
    <w:p w:rsidR="00672BC8" w:rsidRPr="008C11D5" w:rsidRDefault="00672BC8" w:rsidP="004A59E2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</w:p>
    <w:p w:rsidR="00672BC8" w:rsidRPr="00672BC8" w:rsidRDefault="00710B9B" w:rsidP="00672BC8">
      <w:pPr>
        <w:numPr>
          <w:ilvl w:val="0"/>
          <w:numId w:val="1"/>
        </w:num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Nadalje,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promovira neizvjestan rad kažnjavanjem svakog ograničenja upotrebe ugovora na određeno vrijeme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ator 1.2.1). 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očito ne uviđa nikakvu društvenu korist od ovih ograničenja, za razliku od politika, poput standarda minimalne plate, zahtjeva za otpuštanjem i zaštite zdravlja i sigurnosti na radu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710B9B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383230" w:rsidP="00672BC8">
      <w:pPr>
        <w:ind w:left="720"/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>Ovo je pogrešno. U vrijeme kada poslodavci postaju sve veća gospoda prilikom izbjegavanja zakonom propisanih zahtjeva u okviru ugovora o radu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 w:rsidR="00767322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pogodnosti koje primaju radnici zahvaljujući stabilnosti dugoročnih ugovora o radu su važne kao vrijednost koju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 w:rsidR="00767322">
        <w:rPr>
          <w:rFonts w:ascii="Calibri" w:eastAsia="Times New Roman" w:hAnsi="Calibri" w:cs="Calibri"/>
          <w:sz w:val="22"/>
          <w:szCs w:val="22"/>
          <w:lang w:val="hr-HR" w:eastAsia="en-GB"/>
        </w:rPr>
        <w:t>pronalazi u ovim drugim indikatorima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</w:p>
    <w:p w:rsidR="00F56262" w:rsidRDefault="00F56262" w:rsidP="00672BC8">
      <w:pPr>
        <w:ind w:left="720"/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767322" w:rsidP="00672BC8">
      <w:pPr>
        <w:ind w:left="720"/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Konačno,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B-Ready promo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vira izuzetno dugo radno vrijeme na način da pozitivno ocjenjuje države na osnovu postojanja prekovremenog i noćnog rada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ator 1.2.1).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Dok se dodjeljuju dodatni bodovi za one države koje propisuju premiju na platu za prekovremeni rad, ovo ipak ostaje problematično pitanje jer se čini da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daje prednost državama u kojima je dominantna učestalost takvog rada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</w:p>
    <w:p w:rsidR="00672BC8" w:rsidRPr="008C11D5" w:rsidRDefault="00672BC8" w:rsidP="004A59E2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</w:p>
    <w:p w:rsidR="00672BC8" w:rsidRPr="00672BC8" w:rsidRDefault="00767322" w:rsidP="00672BC8">
      <w:pPr>
        <w:numPr>
          <w:ilvl w:val="0"/>
          <w:numId w:val="1"/>
        </w:num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Veliki broj politika osigurava moguće pogodnosti za radnike, preduzeća, ili oboje, ali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sistematski umanjuje te pogodnosti, tako što na primjer ignorira pogodnosti za preduzeća koje primjenjuju mjere zaštite zdravlja i sigurnosti na radu ili poduzimaju mjere da zabrane dječiji ili prisilni rad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Moderno radno mjesto i moderna ekonomija zahtijevaju da se razmotre mnogo šira pitanja od ovih pukih redukcionističkih tumačenja onoga što je neophodno da se pokaže poštovanje prema temeljnim pravima radnika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</w:p>
    <w:p w:rsidR="00672BC8" w:rsidRPr="008C11D5" w:rsidRDefault="00672BC8" w:rsidP="004A59E2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</w:pPr>
    </w:p>
    <w:p w:rsidR="00672BC8" w:rsidRPr="00672BC8" w:rsidRDefault="00672BC8" w:rsidP="00672BC8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 w:rsidRPr="00672BC8"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  <w:t xml:space="preserve">B-Ready </w:t>
      </w:r>
      <w:r w:rsidR="00767322"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  <w:t xml:space="preserve">kažnjava sveobuhvatne sisteme socijalne zaštite </w:t>
      </w:r>
    </w:p>
    <w:p w:rsidR="00672BC8" w:rsidRPr="008C11D5" w:rsidRDefault="00672BC8" w:rsidP="00672BC8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</w:p>
    <w:p w:rsidR="00672BC8" w:rsidRPr="008C11D5" w:rsidRDefault="000F2C46" w:rsidP="00672BC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Dok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B-Ready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dodjeljuje bodove za javno osiguranje od nezaposlenosti, zdravstvene zaštite i starosne penzije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njegov bodovni sistem potkopava suštinsko osiguranje ovih ključnih socijalnih zaštita jer strogo kažnjava finansiranje socijalne zaštite iz doprinosa poslodavca. U stvari, čini se metodologija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B-Ready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dodjeljuje više bodova za sistem socijalne za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>š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tite zasnovan na prethodnim doprinosima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0F2C46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0F2C46" w:rsidP="00672BC8">
      <w:pPr>
        <w:ind w:left="720"/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Sistemi socijalne zaštite finansirani iz poreza sve više finansiraju male, ciljane programe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tj.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socijaln</w:t>
      </w:r>
      <w:r w:rsidR="003129EF">
        <w:rPr>
          <w:rFonts w:ascii="Calibri" w:eastAsia="Times New Roman" w:hAnsi="Calibri" w:cs="Calibri"/>
          <w:sz w:val="22"/>
          <w:szCs w:val="22"/>
          <w:lang w:val="hr-HR" w:eastAsia="en-GB"/>
        </w:rPr>
        <w:t>u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pomoć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)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umjesto široki obim socijalne sigurnosti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 w:rsidR="00EE1A01">
        <w:rPr>
          <w:rFonts w:ascii="Calibri" w:eastAsia="Times New Roman" w:hAnsi="Calibri" w:cs="Calibri"/>
          <w:sz w:val="22"/>
          <w:szCs w:val="22"/>
          <w:lang w:val="hr-HR" w:eastAsia="en-GB"/>
        </w:rPr>
        <w:t>Dok sistemi koji se finansiraju iz poreza mogu biti od velike pomoći za osiguranje socijalne zaštite onima koji nisu bili u mogućnosti da dovoljno izdvajaju za sebe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 w:rsidR="00EE1A01">
        <w:rPr>
          <w:rFonts w:ascii="Calibri" w:eastAsia="Times New Roman" w:hAnsi="Calibri" w:cs="Calibri"/>
          <w:sz w:val="22"/>
          <w:szCs w:val="22"/>
          <w:lang w:val="hr-HR" w:eastAsia="en-GB"/>
        </w:rPr>
        <w:t>tak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>v</w:t>
      </w:r>
      <w:r w:rsidR="00EE1A01">
        <w:rPr>
          <w:rFonts w:ascii="Calibri" w:eastAsia="Times New Roman" w:hAnsi="Calibri" w:cs="Calibri"/>
          <w:sz w:val="22"/>
          <w:szCs w:val="22"/>
          <w:lang w:val="hr-HR" w:eastAsia="en-GB"/>
        </w:rPr>
        <w:t>e sisteme treba prihvatati kao dopune socijalne sigurnosti široke osnove kojoj doprinose i poslodavci i zaposleni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, </w:t>
      </w:r>
      <w:r w:rsidR="00EE1A01">
        <w:rPr>
          <w:rFonts w:ascii="Calibri" w:eastAsia="Times New Roman" w:hAnsi="Calibri" w:cs="Calibri"/>
          <w:sz w:val="22"/>
          <w:szCs w:val="22"/>
          <w:lang w:val="hr-HR" w:eastAsia="en-GB"/>
        </w:rPr>
        <w:t>a ne kao njegovu zamjenu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672BC8" w:rsidP="00672BC8">
      <w:pPr>
        <w:ind w:left="720"/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B-Ready</w:t>
      </w:r>
      <w:r w:rsidR="00485803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daje prednost rezanju socijalne zaštite zasnovane na doprinosima, što je radikalno i opasno, te odstupa od dogovorenih međunarodnih standarda rada – uključujući MOR Konvencije br. 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102 </w:t>
      </w:r>
      <w:r w:rsidR="00485803">
        <w:rPr>
          <w:rFonts w:ascii="Calibri" w:eastAsia="Times New Roman" w:hAnsi="Calibri" w:cs="Calibri"/>
          <w:sz w:val="22"/>
          <w:szCs w:val="22"/>
          <w:lang w:val="hr-HR" w:eastAsia="en-GB"/>
        </w:rPr>
        <w:t>– i nedavno preuzetih obaveza prema socijalnoj zaštiti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 N</w:t>
      </w:r>
      <w:r w:rsidR="0008320F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aročito, </w:t>
      </w:r>
      <w:r w:rsidRPr="00672BC8">
        <w:rPr>
          <w:rFonts w:ascii="Calibri" w:eastAsia="Times New Roman" w:hAnsi="Calibri" w:cs="Calibri"/>
          <w:color w:val="0260BF"/>
          <w:sz w:val="22"/>
          <w:szCs w:val="22"/>
          <w:lang w:val="hr-HR" w:eastAsia="en-GB"/>
        </w:rPr>
        <w:t>Re</w:t>
      </w:r>
      <w:r w:rsidR="0008320F">
        <w:rPr>
          <w:rFonts w:ascii="Calibri" w:eastAsia="Times New Roman" w:hAnsi="Calibri" w:cs="Calibri"/>
          <w:color w:val="0260BF"/>
          <w:sz w:val="22"/>
          <w:szCs w:val="22"/>
          <w:lang w:val="hr-HR" w:eastAsia="en-GB"/>
        </w:rPr>
        <w:t xml:space="preserve">zolucija i Zaključci Međunarodne konferencije rada o </w:t>
      </w:r>
      <w:r w:rsidRPr="00672BC8">
        <w:rPr>
          <w:rFonts w:ascii="Calibri" w:eastAsia="Times New Roman" w:hAnsi="Calibri" w:cs="Calibri"/>
          <w:color w:val="0260BF"/>
          <w:sz w:val="22"/>
          <w:szCs w:val="22"/>
          <w:lang w:val="hr-HR" w:eastAsia="en-GB"/>
        </w:rPr>
        <w:t>so</w:t>
      </w:r>
      <w:r w:rsidR="0008320F">
        <w:rPr>
          <w:rFonts w:ascii="Calibri" w:eastAsia="Times New Roman" w:hAnsi="Calibri" w:cs="Calibri"/>
          <w:color w:val="0260BF"/>
          <w:sz w:val="22"/>
          <w:szCs w:val="22"/>
          <w:lang w:val="hr-HR" w:eastAsia="en-GB"/>
        </w:rPr>
        <w:t xml:space="preserve">cijalnoj sigurnosti </w:t>
      </w:r>
      <w:r w:rsidR="0008320F">
        <w:rPr>
          <w:rFonts w:ascii="Calibri" w:eastAsia="Times New Roman" w:hAnsi="Calibri" w:cs="Calibri"/>
          <w:sz w:val="22"/>
          <w:szCs w:val="22"/>
          <w:lang w:val="hr-HR" w:eastAsia="en-GB"/>
        </w:rPr>
        <w:t>iz 2021. godine – koju su jednoglasno usvojile vlade, organizacije poslodavaca i radnika – pozivaju države članice da „dopune sisteme socijalne zaštite, osiguranjem dovoljnih i većih nivoa doprinosa za socijalnu sigurnost zasnovanu na solidarnosti u finansiranju i pravednoj podjeli doprinosa između poslodavaca i radnika“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 w:rsidR="0008320F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Nadalje, pristup 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B-Ready</w:t>
      </w:r>
      <w:r w:rsidR="0008320F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odstupa </w:t>
      </w:r>
      <w:r w:rsidR="004E6E9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od nedavno dogovorene </w:t>
      </w:r>
      <w:r w:rsidR="004E6E98">
        <w:rPr>
          <w:rFonts w:ascii="Calibri" w:eastAsia="Times New Roman" w:hAnsi="Calibri" w:cs="Calibri"/>
          <w:color w:val="0260BF"/>
          <w:sz w:val="22"/>
          <w:szCs w:val="22"/>
          <w:lang w:val="hr-HR" w:eastAsia="en-GB"/>
        </w:rPr>
        <w:t xml:space="preserve">Zajedničke izjave o principima o finansiranju univerzalne socijalne zaštite </w:t>
      </w:r>
      <w:r w:rsidR="004E6E9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koju je usvojilo 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Global</w:t>
      </w:r>
      <w:r w:rsidR="004E6E9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no partnerstvo o univerzalnoj socijalnoj zaštiti – u čijem sastavu je i sama Svjetska banka – koja </w:t>
      </w:r>
      <w:r w:rsidR="004E6E98">
        <w:rPr>
          <w:rFonts w:ascii="Calibri" w:eastAsia="Times New Roman" w:hAnsi="Calibri" w:cs="Calibri"/>
          <w:sz w:val="22"/>
          <w:szCs w:val="22"/>
          <w:lang w:val="hr-HR" w:eastAsia="en-GB"/>
        </w:rPr>
        <w:lastRenderedPageBreak/>
        <w:t>još jednom naglašava važnost i sistema zasnovanog na doprinosima i finansiranju iz poreza i poziva na sveobuhvatnu mješavinu izvora finansiranja</w:t>
      </w:r>
      <w:r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4A59E2" w:rsidRPr="004A59E2" w:rsidRDefault="004A59E2" w:rsidP="004A59E2">
      <w:pPr>
        <w:jc w:val="both"/>
        <w:rPr>
          <w:rFonts w:ascii="Times New Roman" w:eastAsia="Times New Roman" w:hAnsi="Times New Roman" w:cs="Times New Roman"/>
          <w:lang w:val="hr-HR" w:eastAsia="en-GB"/>
        </w:rPr>
      </w:pPr>
    </w:p>
    <w:p w:rsidR="00672BC8" w:rsidRPr="008C11D5" w:rsidRDefault="00CE515F" w:rsidP="00672BC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Dok država dobija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16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68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bodova za osiguranje od nezaposlenosti, zdravstvenu zaštitu i starosnu penziju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ator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i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2.1.1, 2.1.2, 2.1.3),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dobija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16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68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dodatnih bodova za finansiranje u cjelosti ovih pogodnosti iz poreza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ator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i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2.1.1, 2.1.2, 2.1.3).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Dobije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9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68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bodova za odsustvo bilo koje zakonske obaveze prema direktnom plaćanju ovih pogodnosti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ator 1.2.3)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i još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33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33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bodova za male troškove doprinosa za pogodnosti, kako je utvrđeno u analizi poslodavaca 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(Indi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k</w:t>
      </w:r>
      <w:r w:rsidR="00672BC8" w:rsidRPr="008C11D5">
        <w:rPr>
          <w:rFonts w:ascii="Calibri" w:eastAsia="Times New Roman" w:hAnsi="Calibri" w:cs="Calibri"/>
          <w:sz w:val="22"/>
          <w:szCs w:val="22"/>
          <w:lang w:val="hr-HR" w:eastAsia="en-GB"/>
        </w:rPr>
        <w:t>ator 3.1.1).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sz w:val="22"/>
          <w:szCs w:val="22"/>
          <w:lang w:val="hr-HR" w:eastAsia="en-GB"/>
        </w:rPr>
      </w:pPr>
    </w:p>
    <w:p w:rsidR="00672BC8" w:rsidRPr="00672BC8" w:rsidRDefault="00CE515F" w:rsidP="00672BC8">
      <w:pPr>
        <w:ind w:left="720"/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Prema ovom obračunu, 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zaobilaženje obaveze poslodavaca prema plaćanju doprinosa za socijalnu zaštitu vrijedi gotovo četiri puta više bodova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(59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69 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>bodova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) 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nego samo osiguranje sredstava za ovu socijalnu zaštitu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(16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68). 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Država u kojoj poslodavac ne plaća doprinose će i dalje dobivati gotovo tri puta više bodova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(43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01) 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nego da plaćaju ove pogodnosti iz obaveznih doprinosa poslodavca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(16</w:t>
      </w:r>
      <w:r w:rsidR="00A61D87">
        <w:rPr>
          <w:rFonts w:ascii="Calibri" w:eastAsia="Times New Roman" w:hAnsi="Calibri" w:cs="Calibri"/>
          <w:sz w:val="22"/>
          <w:szCs w:val="22"/>
          <w:lang w:val="hr-HR" w:eastAsia="en-GB"/>
        </w:rPr>
        <w:t>,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68).</w:t>
      </w:r>
    </w:p>
    <w:p w:rsidR="00672BC8" w:rsidRPr="008C11D5" w:rsidRDefault="00672BC8" w:rsidP="00672BC8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</w:pPr>
    </w:p>
    <w:p w:rsidR="00672BC8" w:rsidRPr="00672BC8" w:rsidRDefault="00672BC8" w:rsidP="00672BC8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672BC8"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  <w:t xml:space="preserve">B-Ready </w:t>
      </w:r>
      <w:r w:rsidR="00A61D87">
        <w:rPr>
          <w:rFonts w:ascii="Calibri" w:eastAsia="Times New Roman" w:hAnsi="Calibri" w:cs="Calibri"/>
          <w:b/>
          <w:bCs/>
          <w:sz w:val="22"/>
          <w:szCs w:val="22"/>
          <w:lang w:val="hr-HR" w:eastAsia="en-GB"/>
        </w:rPr>
        <w:t>se ne oslanja na nepristrasne izvore</w:t>
      </w:r>
    </w:p>
    <w:p w:rsidR="00672BC8" w:rsidRPr="008C11D5" w:rsidRDefault="00672BC8" w:rsidP="00672BC8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</w:p>
    <w:p w:rsidR="00672BC8" w:rsidRPr="00672BC8" w:rsidRDefault="005E2918" w:rsidP="00672BC8">
      <w:pPr>
        <w:numPr>
          <w:ilvl w:val="0"/>
          <w:numId w:val="2"/>
        </w:num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Konsultacije sa pravnicima i analize preduzeća su jedini izvori informacija za 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B-Ready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u vezi teme rada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 w:rsidR="00755A60">
        <w:rPr>
          <w:rFonts w:ascii="Calibri" w:eastAsia="Times New Roman" w:hAnsi="Calibri" w:cs="Calibri"/>
          <w:sz w:val="22"/>
          <w:szCs w:val="22"/>
          <w:lang w:val="hr-HR" w:eastAsia="en-GB"/>
        </w:rPr>
        <w:t>Naročito, Svjetska banka je potvrdila da neće tražiti ravnotežu između informacija ili analiza koje dolaze od pravnika koji zastupaju radnike i pravnika koji zastupaju poslodavce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0F2C46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</w:p>
    <w:p w:rsidR="00672BC8" w:rsidRPr="00672BC8" w:rsidRDefault="0026077A" w:rsidP="00672BC8">
      <w:pPr>
        <w:numPr>
          <w:ilvl w:val="0"/>
          <w:numId w:val="2"/>
        </w:num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Dok se advokati konsultiraju u vezi pitanja </w:t>
      </w:r>
      <w:r w:rsidR="00672BC8" w:rsidRPr="00672BC8"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de jure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zaštite radnike i osiguranja javnih usluga, analiza </w:t>
      </w:r>
      <w:r w:rsidR="00672BC8" w:rsidRPr="00672BC8"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de facto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uslova zavisi isključivo od ankete koju provodi preduzeće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 T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ime se potkopava analiza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: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preduzeća ne mogu sama pratiti na primjer učinkovitosti i djelotvornosti inspekcija rada, a imaju očiti interes za brzo rješavanje slučajeva kršenja rada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Radnici su izuzetno zainteresirani za </w:t>
      </w:r>
      <w:r w:rsidR="00672BC8" w:rsidRPr="00672BC8">
        <w:rPr>
          <w:rFonts w:ascii="Calibri" w:eastAsia="Times New Roman" w:hAnsi="Calibri" w:cs="Calibri"/>
          <w:i/>
          <w:iCs/>
          <w:sz w:val="22"/>
          <w:szCs w:val="22"/>
          <w:lang w:val="hr-HR" w:eastAsia="en-GB"/>
        </w:rPr>
        <w:t>de facto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rad inspekcija rada i moraju biti uključeni u te aktivnosti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0F2C46">
      <w:p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</w:p>
    <w:p w:rsidR="00672BC8" w:rsidRPr="00672BC8" w:rsidRDefault="0026077A" w:rsidP="00672BC8">
      <w:pPr>
        <w:numPr>
          <w:ilvl w:val="0"/>
          <w:numId w:val="2"/>
        </w:numPr>
        <w:jc w:val="both"/>
        <w:rPr>
          <w:rFonts w:ascii="SymbolMT" w:eastAsia="Times New Roman" w:hAnsi="SymbolMT" w:cs="Times New Roman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sz w:val="22"/>
          <w:szCs w:val="22"/>
          <w:lang w:val="hr-HR" w:eastAsia="en-GB"/>
        </w:rPr>
        <w:t>Radnici ili organizacije radnika se ne konsultiraju ni u jednom trenutku trajanja procesa istraživanja, a poslovni sektor mora „potvrdit</w:t>
      </w:r>
      <w:r w:rsidR="00BD1C3A">
        <w:rPr>
          <w:rFonts w:ascii="Calibri" w:eastAsia="Times New Roman" w:hAnsi="Calibri" w:cs="Calibri"/>
          <w:sz w:val="22"/>
          <w:szCs w:val="22"/>
          <w:lang w:val="hr-HR" w:eastAsia="en-GB"/>
        </w:rPr>
        <w:t>i</w:t>
      </w:r>
      <w:r>
        <w:rPr>
          <w:rFonts w:ascii="Calibri" w:eastAsia="Times New Roman" w:hAnsi="Calibri" w:cs="Calibri"/>
          <w:sz w:val="22"/>
          <w:szCs w:val="22"/>
          <w:lang w:val="hr-HR" w:eastAsia="en-GB"/>
        </w:rPr>
        <w:t>“ svaku informacija koju radnici dostave</w:t>
      </w:r>
      <w:r w:rsidR="00672BC8" w:rsidRPr="00672BC8">
        <w:rPr>
          <w:rFonts w:ascii="Calibri" w:eastAsia="Times New Roman" w:hAnsi="Calibri" w:cs="Calibri"/>
          <w:sz w:val="22"/>
          <w:szCs w:val="22"/>
          <w:lang w:val="hr-HR" w:eastAsia="en-GB"/>
        </w:rPr>
        <w:t>.</w:t>
      </w:r>
    </w:p>
    <w:p w:rsidR="00672BC8" w:rsidRPr="008C11D5" w:rsidRDefault="00672BC8" w:rsidP="00672BC8">
      <w:pPr>
        <w:jc w:val="both"/>
        <w:rPr>
          <w:lang w:val="hr-HR"/>
        </w:rPr>
      </w:pPr>
    </w:p>
    <w:sectPr w:rsidR="00672BC8" w:rsidRPr="008C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38DC"/>
    <w:multiLevelType w:val="multilevel"/>
    <w:tmpl w:val="061E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6C2C5F"/>
    <w:multiLevelType w:val="hybridMultilevel"/>
    <w:tmpl w:val="8658879C"/>
    <w:lvl w:ilvl="0" w:tplc="DD280AB0">
      <w:start w:val="2"/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C0B8C"/>
    <w:multiLevelType w:val="multilevel"/>
    <w:tmpl w:val="75F8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2630540">
    <w:abstractNumId w:val="0"/>
  </w:num>
  <w:num w:numId="2" w16cid:durableId="1346322570">
    <w:abstractNumId w:val="2"/>
  </w:num>
  <w:num w:numId="3" w16cid:durableId="146889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C8"/>
    <w:rsid w:val="0008320F"/>
    <w:rsid w:val="000C074E"/>
    <w:rsid w:val="000F2C46"/>
    <w:rsid w:val="0026077A"/>
    <w:rsid w:val="002A35EE"/>
    <w:rsid w:val="003129EF"/>
    <w:rsid w:val="00383230"/>
    <w:rsid w:val="00452515"/>
    <w:rsid w:val="00485803"/>
    <w:rsid w:val="004A59E2"/>
    <w:rsid w:val="004E6E98"/>
    <w:rsid w:val="00555187"/>
    <w:rsid w:val="005E2918"/>
    <w:rsid w:val="00641C4E"/>
    <w:rsid w:val="00672BC8"/>
    <w:rsid w:val="006D0906"/>
    <w:rsid w:val="00710B9B"/>
    <w:rsid w:val="00755A60"/>
    <w:rsid w:val="00767322"/>
    <w:rsid w:val="008C11D5"/>
    <w:rsid w:val="00967A3F"/>
    <w:rsid w:val="00A61D87"/>
    <w:rsid w:val="00BA5969"/>
    <w:rsid w:val="00BD1C3A"/>
    <w:rsid w:val="00C57FA5"/>
    <w:rsid w:val="00CE515F"/>
    <w:rsid w:val="00DD2ADC"/>
    <w:rsid w:val="00EE1A01"/>
    <w:rsid w:val="00F4541A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6334B"/>
  <w15:chartTrackingRefBased/>
  <w15:docId w15:val="{1A62DC24-9340-9C4B-A393-A8A0FB9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7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8245</Characters>
  <Application>Microsoft Office Word</Application>
  <DocSecurity>0</DocSecurity>
  <Lines>343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Kulaglic</dc:creator>
  <cp:keywords/>
  <dc:description/>
  <cp:lastModifiedBy>Samir Kulaglic</cp:lastModifiedBy>
  <cp:revision>2</cp:revision>
  <dcterms:created xsi:type="dcterms:W3CDTF">2023-07-06T16:03:00Z</dcterms:created>
  <dcterms:modified xsi:type="dcterms:W3CDTF">2023-07-06T16:03:00Z</dcterms:modified>
</cp:coreProperties>
</file>