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F7" w:rsidRPr="00620367" w:rsidRDefault="000251F7" w:rsidP="00CE3EED">
      <w:pPr>
        <w:jc w:val="both"/>
        <w:rPr>
          <w:rFonts w:ascii="Calibri" w:hAnsi="Calibri"/>
          <w:b/>
          <w:lang w:val="en-US"/>
        </w:rPr>
      </w:pPr>
      <w:r w:rsidRPr="00620367">
        <w:rPr>
          <w:rFonts w:ascii="Calibri" w:hAnsi="Calibri"/>
          <w:b/>
          <w:lang w:val="en-US"/>
        </w:rPr>
        <w:t>E</w:t>
      </w:r>
      <w:r w:rsidR="00CE3EED" w:rsidRPr="00620367">
        <w:rPr>
          <w:rFonts w:ascii="Calibri" w:hAnsi="Calibri"/>
          <w:b/>
          <w:lang w:val="en-US"/>
        </w:rPr>
        <w:t>conomic growth</w:t>
      </w:r>
    </w:p>
    <w:p w:rsidR="00DF181A" w:rsidRPr="00620367" w:rsidRDefault="00DF181A" w:rsidP="00CE3EED">
      <w:pPr>
        <w:jc w:val="both"/>
        <w:rPr>
          <w:rFonts w:ascii="Calibri" w:hAnsi="Calibri"/>
          <w:lang w:val="en-US"/>
        </w:rPr>
      </w:pPr>
    </w:p>
    <w:p w:rsidR="00F0630E" w:rsidRPr="00620367" w:rsidRDefault="00CE3EED" w:rsidP="00CE3EED">
      <w:pPr>
        <w:jc w:val="both"/>
        <w:rPr>
          <w:rFonts w:ascii="Calibri" w:hAnsi="Calibri"/>
          <w:lang w:val="en-US"/>
        </w:rPr>
      </w:pPr>
      <w:r w:rsidRPr="00620367">
        <w:rPr>
          <w:rFonts w:ascii="Calibri" w:hAnsi="Calibri"/>
          <w:lang w:val="en-US"/>
        </w:rPr>
        <w:t>Montenegrin economy, according to the World Banka assessment, was the fastest growing economy in the region, and it is expected that its growth would be somewhat higher than 4%.</w:t>
      </w:r>
    </w:p>
    <w:p w:rsidR="00F0630E" w:rsidRPr="00620367" w:rsidRDefault="00CE3EED" w:rsidP="00CE3EED">
      <w:pPr>
        <w:jc w:val="both"/>
        <w:rPr>
          <w:rFonts w:ascii="Calibri" w:hAnsi="Calibri"/>
          <w:lang w:val="en-US"/>
        </w:rPr>
      </w:pPr>
      <w:r w:rsidRPr="00620367">
        <w:rPr>
          <w:rFonts w:ascii="Calibri" w:hAnsi="Calibri"/>
          <w:lang w:val="en-US"/>
        </w:rPr>
        <w:t>Ever since it restored its independence, a significant progress in Montenegrin economy was achieved, although accompanied by some cyclical movements</w:t>
      </w:r>
      <w:r w:rsidR="00F0630E" w:rsidRPr="00620367">
        <w:rPr>
          <w:rFonts w:ascii="Calibri" w:hAnsi="Calibri"/>
          <w:lang w:val="en-US"/>
        </w:rPr>
        <w:t xml:space="preserve">. </w:t>
      </w:r>
      <w:r w:rsidRPr="00620367">
        <w:rPr>
          <w:rFonts w:ascii="Calibri" w:hAnsi="Calibri"/>
          <w:lang w:val="en-US"/>
        </w:rPr>
        <w:t xml:space="preserve">The average growth of GDP in the period </w:t>
      </w:r>
      <w:r w:rsidR="00F0630E" w:rsidRPr="00620367">
        <w:rPr>
          <w:rFonts w:ascii="Calibri" w:hAnsi="Calibri"/>
          <w:lang w:val="en-US"/>
        </w:rPr>
        <w:t>2006-2016</w:t>
      </w:r>
      <w:r w:rsidRPr="00620367">
        <w:rPr>
          <w:rFonts w:ascii="Calibri" w:hAnsi="Calibri"/>
          <w:lang w:val="en-US"/>
        </w:rPr>
        <w:t xml:space="preserve"> was 3.</w:t>
      </w:r>
      <w:r w:rsidR="00F0630E" w:rsidRPr="00620367">
        <w:rPr>
          <w:rFonts w:ascii="Calibri" w:hAnsi="Calibri"/>
          <w:lang w:val="en-US"/>
        </w:rPr>
        <w:t xml:space="preserve">2%. </w:t>
      </w:r>
      <w:r w:rsidRPr="00620367">
        <w:rPr>
          <w:rFonts w:ascii="Calibri" w:hAnsi="Calibri"/>
          <w:lang w:val="en-US"/>
        </w:rPr>
        <w:t xml:space="preserve">At the same time, GDP </w:t>
      </w:r>
      <w:r w:rsidR="00F0630E" w:rsidRPr="00620367">
        <w:rPr>
          <w:rFonts w:ascii="Calibri" w:hAnsi="Calibri"/>
          <w:lang w:val="en-US"/>
        </w:rPr>
        <w:t xml:space="preserve">per capita </w:t>
      </w:r>
      <w:r w:rsidRPr="00620367">
        <w:rPr>
          <w:rFonts w:ascii="Calibri" w:hAnsi="Calibri"/>
          <w:lang w:val="en-US"/>
        </w:rPr>
        <w:t xml:space="preserve">in </w:t>
      </w:r>
      <w:r w:rsidR="00F0630E" w:rsidRPr="00620367">
        <w:rPr>
          <w:rFonts w:ascii="Calibri" w:hAnsi="Calibri"/>
          <w:lang w:val="en-US"/>
        </w:rPr>
        <w:t>2016</w:t>
      </w:r>
      <w:r w:rsidRPr="00620367">
        <w:rPr>
          <w:rFonts w:ascii="Calibri" w:hAnsi="Calibri"/>
          <w:lang w:val="en-US"/>
        </w:rPr>
        <w:t xml:space="preserve"> was 6,</w:t>
      </w:r>
      <w:r w:rsidR="00F0630E" w:rsidRPr="00620367">
        <w:rPr>
          <w:rFonts w:ascii="Calibri" w:hAnsi="Calibri"/>
          <w:lang w:val="en-US"/>
        </w:rPr>
        <w:t xml:space="preserve">060 € </w:t>
      </w:r>
      <w:r w:rsidRPr="00620367">
        <w:rPr>
          <w:rFonts w:ascii="Calibri" w:hAnsi="Calibri"/>
          <w:lang w:val="en-US"/>
        </w:rPr>
        <w:t xml:space="preserve">and it is higher </w:t>
      </w:r>
      <w:r w:rsidR="00E40B54" w:rsidRPr="00620367">
        <w:rPr>
          <w:rFonts w:ascii="Calibri" w:hAnsi="Calibri"/>
          <w:lang w:val="en-US"/>
        </w:rPr>
        <w:t xml:space="preserve">by </w:t>
      </w:r>
      <w:r w:rsidR="00F0630E" w:rsidRPr="00620367">
        <w:rPr>
          <w:rFonts w:ascii="Calibri" w:hAnsi="Calibri"/>
          <w:lang w:val="en-US"/>
        </w:rPr>
        <w:t xml:space="preserve">76% </w:t>
      </w:r>
      <w:r w:rsidR="00E40B54" w:rsidRPr="00620367">
        <w:rPr>
          <w:rFonts w:ascii="Calibri" w:hAnsi="Calibri"/>
          <w:lang w:val="en-US"/>
        </w:rPr>
        <w:t xml:space="preserve">compared to </w:t>
      </w:r>
      <w:r w:rsidR="00F0630E" w:rsidRPr="00620367">
        <w:rPr>
          <w:rFonts w:ascii="Calibri" w:hAnsi="Calibri"/>
          <w:lang w:val="en-US"/>
        </w:rPr>
        <w:t xml:space="preserve">2006. </w:t>
      </w:r>
      <w:r w:rsidR="00E40B54" w:rsidRPr="00620367">
        <w:rPr>
          <w:rFonts w:ascii="Calibri" w:hAnsi="Calibri"/>
          <w:lang w:val="en-US"/>
        </w:rPr>
        <w:t>The total net influx of FDI, observed in the same period, was 5,754.</w:t>
      </w:r>
      <w:r w:rsidR="00F0630E" w:rsidRPr="00620367">
        <w:rPr>
          <w:rFonts w:ascii="Calibri" w:hAnsi="Calibri"/>
          <w:lang w:val="en-US"/>
        </w:rPr>
        <w:t>4 mil</w:t>
      </w:r>
      <w:r w:rsidR="00E40B54" w:rsidRPr="00620367">
        <w:rPr>
          <w:rFonts w:ascii="Calibri" w:hAnsi="Calibri"/>
          <w:lang w:val="en-US"/>
        </w:rPr>
        <w:t xml:space="preserve">lion euro or around </w:t>
      </w:r>
      <w:r w:rsidR="00F0630E" w:rsidRPr="00620367">
        <w:rPr>
          <w:rFonts w:ascii="Calibri" w:hAnsi="Calibri"/>
          <w:lang w:val="en-US"/>
        </w:rPr>
        <w:t xml:space="preserve">19% </w:t>
      </w:r>
      <w:r w:rsidR="00E40B54" w:rsidRPr="00620367">
        <w:rPr>
          <w:rFonts w:ascii="Calibri" w:hAnsi="Calibri"/>
          <w:lang w:val="en-US"/>
        </w:rPr>
        <w:t>of G</w:t>
      </w:r>
      <w:r w:rsidR="00F0630E" w:rsidRPr="00620367">
        <w:rPr>
          <w:rFonts w:ascii="Calibri" w:hAnsi="Calibri"/>
          <w:lang w:val="en-US"/>
        </w:rPr>
        <w:t xml:space="preserve">DP. </w:t>
      </w:r>
      <w:r w:rsidR="00E40B54" w:rsidRPr="00620367">
        <w:rPr>
          <w:rFonts w:ascii="Calibri" w:hAnsi="Calibri"/>
          <w:lang w:val="en-US"/>
        </w:rPr>
        <w:t xml:space="preserve">The budget revenues in </w:t>
      </w:r>
      <w:r w:rsidR="00F0630E" w:rsidRPr="00620367">
        <w:rPr>
          <w:rFonts w:ascii="Calibri" w:hAnsi="Calibri"/>
          <w:lang w:val="en-US"/>
        </w:rPr>
        <w:t>2016</w:t>
      </w:r>
      <w:r w:rsidR="00E40B54" w:rsidRPr="00620367">
        <w:rPr>
          <w:rFonts w:ascii="Calibri" w:hAnsi="Calibri"/>
          <w:lang w:val="en-US"/>
        </w:rPr>
        <w:t xml:space="preserve"> amounted to 1,486.</w:t>
      </w:r>
      <w:r w:rsidR="00F0630E" w:rsidRPr="00620367">
        <w:rPr>
          <w:rFonts w:ascii="Calibri" w:hAnsi="Calibri"/>
          <w:lang w:val="en-US"/>
        </w:rPr>
        <w:t>5</w:t>
      </w:r>
      <w:r w:rsidR="00E40B54" w:rsidRPr="00620367">
        <w:rPr>
          <w:rFonts w:ascii="Calibri" w:hAnsi="Calibri"/>
          <w:lang w:val="en-US"/>
        </w:rPr>
        <w:t xml:space="preserve"> </w:t>
      </w:r>
      <w:r w:rsidR="00F0630E" w:rsidRPr="00620367">
        <w:rPr>
          <w:rFonts w:ascii="Calibri" w:hAnsi="Calibri"/>
          <w:lang w:val="en-US"/>
        </w:rPr>
        <w:t xml:space="preserve">€ </w:t>
      </w:r>
      <w:r w:rsidR="00E40B54" w:rsidRPr="00620367">
        <w:rPr>
          <w:rFonts w:ascii="Calibri" w:hAnsi="Calibri"/>
          <w:lang w:val="en-US"/>
        </w:rPr>
        <w:t xml:space="preserve">and compared to </w:t>
      </w:r>
      <w:r w:rsidR="00F0630E" w:rsidRPr="00620367">
        <w:rPr>
          <w:rFonts w:ascii="Calibri" w:hAnsi="Calibri"/>
          <w:lang w:val="en-US"/>
        </w:rPr>
        <w:t>2006</w:t>
      </w:r>
      <w:r w:rsidR="00E40B54" w:rsidRPr="00620367">
        <w:rPr>
          <w:rFonts w:ascii="Calibri" w:hAnsi="Calibri"/>
          <w:lang w:val="en-US"/>
        </w:rPr>
        <w:t xml:space="preserve">, they were bigger by </w:t>
      </w:r>
      <w:r w:rsidR="00F0630E" w:rsidRPr="00620367">
        <w:rPr>
          <w:rFonts w:ascii="Calibri" w:hAnsi="Calibri"/>
          <w:lang w:val="en-US"/>
        </w:rPr>
        <w:t>73%</w:t>
      </w:r>
      <w:r w:rsidR="00E40B54" w:rsidRPr="00620367">
        <w:rPr>
          <w:rFonts w:ascii="Calibri" w:hAnsi="Calibri"/>
          <w:lang w:val="en-US"/>
        </w:rPr>
        <w:t xml:space="preserve">. Average net wage was increased from </w:t>
      </w:r>
      <w:r w:rsidR="00F0630E" w:rsidRPr="00620367">
        <w:rPr>
          <w:rFonts w:ascii="Calibri" w:hAnsi="Calibri"/>
          <w:lang w:val="en-US"/>
        </w:rPr>
        <w:t xml:space="preserve">282 € </w:t>
      </w:r>
      <w:r w:rsidR="00E40B54" w:rsidRPr="00620367">
        <w:rPr>
          <w:rFonts w:ascii="Calibri" w:hAnsi="Calibri"/>
          <w:lang w:val="en-US"/>
        </w:rPr>
        <w:t xml:space="preserve">in </w:t>
      </w:r>
      <w:r w:rsidR="00F0630E" w:rsidRPr="00620367">
        <w:rPr>
          <w:rFonts w:ascii="Calibri" w:hAnsi="Calibri"/>
          <w:lang w:val="en-US"/>
        </w:rPr>
        <w:t>2006</w:t>
      </w:r>
      <w:r w:rsidR="00E40B54" w:rsidRPr="00620367">
        <w:rPr>
          <w:rFonts w:ascii="Calibri" w:hAnsi="Calibri"/>
          <w:lang w:val="en-US"/>
        </w:rPr>
        <w:t xml:space="preserve"> to </w:t>
      </w:r>
      <w:r w:rsidR="00F0630E" w:rsidRPr="00620367">
        <w:rPr>
          <w:rFonts w:ascii="Calibri" w:hAnsi="Calibri"/>
          <w:lang w:val="en-US"/>
        </w:rPr>
        <w:t>499</w:t>
      </w:r>
      <w:r w:rsidR="00E40B54" w:rsidRPr="00620367">
        <w:rPr>
          <w:rFonts w:ascii="Calibri" w:hAnsi="Calibri"/>
          <w:lang w:val="en-US"/>
        </w:rPr>
        <w:t xml:space="preserve"> </w:t>
      </w:r>
      <w:r w:rsidR="00F0630E" w:rsidRPr="00620367">
        <w:rPr>
          <w:rFonts w:ascii="Calibri" w:hAnsi="Calibri"/>
          <w:lang w:val="en-US"/>
        </w:rPr>
        <w:t xml:space="preserve">€ </w:t>
      </w:r>
      <w:r w:rsidR="00E40B54" w:rsidRPr="00620367">
        <w:rPr>
          <w:rFonts w:ascii="Calibri" w:hAnsi="Calibri"/>
          <w:lang w:val="en-US"/>
        </w:rPr>
        <w:t xml:space="preserve">in </w:t>
      </w:r>
      <w:r w:rsidR="00F0630E" w:rsidRPr="00620367">
        <w:rPr>
          <w:rFonts w:ascii="Calibri" w:hAnsi="Calibri"/>
          <w:lang w:val="en-US"/>
        </w:rPr>
        <w:t xml:space="preserve">2016, </w:t>
      </w:r>
      <w:proofErr w:type="gramStart"/>
      <w:r w:rsidR="00E40B54" w:rsidRPr="00620367">
        <w:rPr>
          <w:rFonts w:ascii="Calibri" w:hAnsi="Calibri"/>
          <w:lang w:val="en-US"/>
        </w:rPr>
        <w:t>and</w:t>
      </w:r>
      <w:proofErr w:type="gramEnd"/>
      <w:r w:rsidR="00E40B54" w:rsidRPr="00620367">
        <w:rPr>
          <w:rFonts w:ascii="Calibri" w:hAnsi="Calibri"/>
          <w:lang w:val="en-US"/>
        </w:rPr>
        <w:t xml:space="preserve"> the average pension from </w:t>
      </w:r>
      <w:r w:rsidR="00F0630E" w:rsidRPr="00620367">
        <w:rPr>
          <w:rFonts w:ascii="Calibri" w:hAnsi="Calibri"/>
          <w:lang w:val="en-US"/>
        </w:rPr>
        <w:t>138</w:t>
      </w:r>
      <w:r w:rsidR="00E40B54" w:rsidRPr="00620367">
        <w:rPr>
          <w:rFonts w:ascii="Calibri" w:hAnsi="Calibri"/>
          <w:lang w:val="en-US"/>
        </w:rPr>
        <w:t xml:space="preserve"> </w:t>
      </w:r>
      <w:r w:rsidR="00F0630E" w:rsidRPr="00620367">
        <w:rPr>
          <w:rFonts w:ascii="Calibri" w:hAnsi="Calibri"/>
          <w:lang w:val="en-US"/>
        </w:rPr>
        <w:t xml:space="preserve">€ </w:t>
      </w:r>
      <w:r w:rsidR="00E40B54" w:rsidRPr="00620367">
        <w:rPr>
          <w:rFonts w:ascii="Calibri" w:hAnsi="Calibri"/>
          <w:lang w:val="en-US"/>
        </w:rPr>
        <w:t xml:space="preserve">to </w:t>
      </w:r>
      <w:r w:rsidR="00F0630E" w:rsidRPr="00620367">
        <w:rPr>
          <w:rFonts w:ascii="Calibri" w:hAnsi="Calibri"/>
          <w:lang w:val="en-US"/>
        </w:rPr>
        <w:t>284</w:t>
      </w:r>
      <w:r w:rsidR="00E40B54" w:rsidRPr="00620367">
        <w:rPr>
          <w:rFonts w:ascii="Calibri" w:hAnsi="Calibri"/>
          <w:lang w:val="en-US"/>
        </w:rPr>
        <w:t xml:space="preserve"> </w:t>
      </w:r>
      <w:r w:rsidR="00F0630E" w:rsidRPr="00620367">
        <w:rPr>
          <w:rFonts w:ascii="Calibri" w:hAnsi="Calibri"/>
          <w:lang w:val="en-US"/>
        </w:rPr>
        <w:t xml:space="preserve">€. </w:t>
      </w:r>
      <w:r w:rsidR="00E40B54" w:rsidRPr="00620367">
        <w:rPr>
          <w:rFonts w:ascii="Calibri" w:hAnsi="Calibri"/>
          <w:lang w:val="en-US"/>
        </w:rPr>
        <w:t xml:space="preserve">Average real growth of wages in this period was </w:t>
      </w:r>
      <w:r w:rsidR="00F0630E" w:rsidRPr="00620367">
        <w:rPr>
          <w:rFonts w:ascii="Calibri" w:hAnsi="Calibri"/>
          <w:lang w:val="en-US"/>
        </w:rPr>
        <w:t>33%.</w:t>
      </w:r>
    </w:p>
    <w:p w:rsidR="00F0630E" w:rsidRPr="00620367" w:rsidRDefault="00E40B54" w:rsidP="00CE3EED">
      <w:pPr>
        <w:jc w:val="both"/>
        <w:rPr>
          <w:rFonts w:ascii="Calibri" w:hAnsi="Calibri"/>
          <w:lang w:val="en-US"/>
        </w:rPr>
      </w:pPr>
      <w:r w:rsidRPr="00620367">
        <w:rPr>
          <w:rFonts w:ascii="Calibri" w:hAnsi="Calibri"/>
          <w:lang w:val="en-US"/>
        </w:rPr>
        <w:t xml:space="preserve">Table </w:t>
      </w:r>
      <w:r w:rsidR="00957D41" w:rsidRPr="00620367">
        <w:rPr>
          <w:rFonts w:ascii="Calibri" w:hAnsi="Calibri"/>
          <w:lang w:val="en-US"/>
        </w:rPr>
        <w:t>below</w:t>
      </w:r>
      <w:r w:rsidRPr="00620367">
        <w:rPr>
          <w:rFonts w:ascii="Calibri" w:hAnsi="Calibri"/>
          <w:lang w:val="en-US"/>
        </w:rPr>
        <w:t xml:space="preserve"> shows some indicators for Montenegro for the period </w:t>
      </w:r>
      <w:r w:rsidR="00F0630E" w:rsidRPr="00620367">
        <w:rPr>
          <w:rFonts w:ascii="Calibri" w:hAnsi="Calibri"/>
          <w:lang w:val="en-US"/>
        </w:rPr>
        <w:t>2013</w:t>
      </w:r>
      <w:r w:rsidRPr="00620367">
        <w:rPr>
          <w:rFonts w:ascii="Calibri" w:hAnsi="Calibri"/>
          <w:lang w:val="en-US"/>
        </w:rPr>
        <w:t>- 2017.</w:t>
      </w:r>
    </w:p>
    <w:tbl>
      <w:tblPr>
        <w:tblStyle w:val="GridTableLight"/>
        <w:tblW w:w="0" w:type="auto"/>
        <w:tblInd w:w="279" w:type="dxa"/>
        <w:tblLook w:val="04A0"/>
      </w:tblPr>
      <w:tblGrid>
        <w:gridCol w:w="2439"/>
        <w:gridCol w:w="900"/>
        <w:gridCol w:w="1080"/>
        <w:gridCol w:w="990"/>
        <w:gridCol w:w="1080"/>
        <w:gridCol w:w="1170"/>
        <w:gridCol w:w="1124"/>
      </w:tblGrid>
      <w:tr w:rsidR="00957D41" w:rsidRPr="00620367" w:rsidTr="00957D41">
        <w:tc>
          <w:tcPr>
            <w:tcW w:w="2439" w:type="dxa"/>
          </w:tcPr>
          <w:p w:rsidR="00F0630E" w:rsidRPr="00620367" w:rsidRDefault="00F0630E" w:rsidP="00CE3EED">
            <w:pPr>
              <w:jc w:val="both"/>
              <w:rPr>
                <w:rFonts w:ascii="Calibri" w:hAnsi="Calibri"/>
                <w:lang w:val="en-US"/>
              </w:rPr>
            </w:pPr>
          </w:p>
        </w:tc>
        <w:tc>
          <w:tcPr>
            <w:tcW w:w="900" w:type="dxa"/>
          </w:tcPr>
          <w:p w:rsidR="00F0630E" w:rsidRPr="00620367" w:rsidRDefault="00E40B54" w:rsidP="00CE3EED">
            <w:pPr>
              <w:jc w:val="both"/>
              <w:rPr>
                <w:rFonts w:ascii="Calibri" w:hAnsi="Calibri"/>
                <w:lang w:val="en-US"/>
              </w:rPr>
            </w:pPr>
            <w:r w:rsidRPr="00620367">
              <w:rPr>
                <w:rFonts w:ascii="Calibri" w:hAnsi="Calibri"/>
                <w:lang w:val="en-US"/>
              </w:rPr>
              <w:t>2013</w:t>
            </w:r>
          </w:p>
        </w:tc>
        <w:tc>
          <w:tcPr>
            <w:tcW w:w="1080" w:type="dxa"/>
          </w:tcPr>
          <w:p w:rsidR="00F0630E" w:rsidRPr="00620367" w:rsidRDefault="00E40B54" w:rsidP="00CE3EED">
            <w:pPr>
              <w:jc w:val="both"/>
              <w:rPr>
                <w:rFonts w:ascii="Calibri" w:hAnsi="Calibri"/>
                <w:lang w:val="en-US"/>
              </w:rPr>
            </w:pPr>
            <w:r w:rsidRPr="00620367">
              <w:rPr>
                <w:rFonts w:ascii="Calibri" w:hAnsi="Calibri"/>
                <w:lang w:val="en-US"/>
              </w:rPr>
              <w:t>2014</w:t>
            </w:r>
          </w:p>
        </w:tc>
        <w:tc>
          <w:tcPr>
            <w:tcW w:w="990" w:type="dxa"/>
          </w:tcPr>
          <w:p w:rsidR="00F0630E" w:rsidRPr="00620367" w:rsidRDefault="00F0630E" w:rsidP="00CE3EED">
            <w:pPr>
              <w:jc w:val="both"/>
              <w:rPr>
                <w:rFonts w:ascii="Calibri" w:hAnsi="Calibri"/>
                <w:lang w:val="en-US"/>
              </w:rPr>
            </w:pPr>
            <w:r w:rsidRPr="00620367">
              <w:rPr>
                <w:rFonts w:ascii="Calibri" w:hAnsi="Calibri"/>
                <w:lang w:val="en-US"/>
              </w:rPr>
              <w:t>2</w:t>
            </w:r>
            <w:r w:rsidR="00E40B54" w:rsidRPr="00620367">
              <w:rPr>
                <w:rFonts w:ascii="Calibri" w:hAnsi="Calibri"/>
                <w:lang w:val="en-US"/>
              </w:rPr>
              <w:t>015</w:t>
            </w:r>
          </w:p>
        </w:tc>
        <w:tc>
          <w:tcPr>
            <w:tcW w:w="1080" w:type="dxa"/>
          </w:tcPr>
          <w:p w:rsidR="00F0630E" w:rsidRPr="00620367" w:rsidRDefault="00F0630E" w:rsidP="00CE3EED">
            <w:pPr>
              <w:jc w:val="both"/>
              <w:rPr>
                <w:rFonts w:ascii="Calibri" w:hAnsi="Calibri"/>
                <w:lang w:val="en-US"/>
              </w:rPr>
            </w:pPr>
            <w:r w:rsidRPr="00620367">
              <w:rPr>
                <w:rFonts w:ascii="Calibri" w:hAnsi="Calibri"/>
                <w:lang w:val="en-US"/>
              </w:rPr>
              <w:t>2016</w:t>
            </w:r>
          </w:p>
        </w:tc>
        <w:tc>
          <w:tcPr>
            <w:tcW w:w="1170" w:type="dxa"/>
          </w:tcPr>
          <w:p w:rsidR="00F0630E" w:rsidRPr="00620367" w:rsidRDefault="001B4F05" w:rsidP="00CE3EED">
            <w:pPr>
              <w:jc w:val="both"/>
              <w:rPr>
                <w:rFonts w:ascii="Calibri" w:hAnsi="Calibri"/>
                <w:lang w:val="en-US"/>
              </w:rPr>
            </w:pPr>
            <w:r w:rsidRPr="00620367">
              <w:rPr>
                <w:rFonts w:ascii="Calibri" w:hAnsi="Calibri"/>
                <w:lang w:val="en-US"/>
              </w:rPr>
              <w:t xml:space="preserve">Q1 </w:t>
            </w:r>
            <w:r w:rsidR="00E40B54" w:rsidRPr="00620367">
              <w:rPr>
                <w:rFonts w:ascii="Calibri" w:hAnsi="Calibri"/>
                <w:lang w:val="en-US"/>
              </w:rPr>
              <w:t>2017</w:t>
            </w:r>
          </w:p>
        </w:tc>
        <w:tc>
          <w:tcPr>
            <w:tcW w:w="1124" w:type="dxa"/>
          </w:tcPr>
          <w:p w:rsidR="00F0630E" w:rsidRPr="00620367" w:rsidRDefault="001B4F05" w:rsidP="00CE3EED">
            <w:pPr>
              <w:jc w:val="both"/>
              <w:rPr>
                <w:rFonts w:ascii="Calibri" w:hAnsi="Calibri"/>
                <w:lang w:val="en-US"/>
              </w:rPr>
            </w:pPr>
            <w:r w:rsidRPr="00620367">
              <w:rPr>
                <w:rFonts w:ascii="Calibri" w:hAnsi="Calibri"/>
                <w:lang w:val="en-US"/>
              </w:rPr>
              <w:t xml:space="preserve">Q2 </w:t>
            </w:r>
            <w:r w:rsidR="00E40B54" w:rsidRPr="00620367">
              <w:rPr>
                <w:rFonts w:ascii="Calibri" w:hAnsi="Calibri"/>
                <w:lang w:val="en-US"/>
              </w:rPr>
              <w:t>2017</w:t>
            </w:r>
          </w:p>
        </w:tc>
      </w:tr>
      <w:tr w:rsidR="00957D41" w:rsidRPr="00620367" w:rsidTr="00957D41">
        <w:tc>
          <w:tcPr>
            <w:tcW w:w="2439" w:type="dxa"/>
          </w:tcPr>
          <w:p w:rsidR="00F0630E" w:rsidRPr="00620367" w:rsidRDefault="00F0630E" w:rsidP="00E40B54">
            <w:pPr>
              <w:jc w:val="both"/>
              <w:rPr>
                <w:rFonts w:ascii="Calibri" w:hAnsi="Calibri"/>
                <w:lang w:val="en-US"/>
              </w:rPr>
            </w:pPr>
            <w:r w:rsidRPr="00620367">
              <w:rPr>
                <w:rFonts w:ascii="Calibri" w:hAnsi="Calibri"/>
                <w:lang w:val="en-US"/>
              </w:rPr>
              <w:t>Real</w:t>
            </w:r>
            <w:r w:rsidR="00E40B54" w:rsidRPr="00620367">
              <w:rPr>
                <w:rFonts w:ascii="Calibri" w:hAnsi="Calibri"/>
                <w:lang w:val="en-US"/>
              </w:rPr>
              <w:t xml:space="preserve"> rate of GDP growth </w:t>
            </w:r>
            <w:r w:rsidRPr="00620367">
              <w:rPr>
                <w:rFonts w:ascii="Calibri" w:hAnsi="Calibri"/>
                <w:lang w:val="en-US"/>
              </w:rPr>
              <w:t>(</w:t>
            </w:r>
            <w:r w:rsidR="00E40B54" w:rsidRPr="00620367">
              <w:rPr>
                <w:rFonts w:ascii="Calibri" w:hAnsi="Calibri"/>
                <w:lang w:val="en-US"/>
              </w:rPr>
              <w:t>in</w:t>
            </w:r>
            <w:r w:rsidRPr="00620367">
              <w:rPr>
                <w:rFonts w:ascii="Calibri" w:hAnsi="Calibri"/>
                <w:lang w:val="en-US"/>
              </w:rPr>
              <w:t xml:space="preserve"> %)</w:t>
            </w:r>
          </w:p>
        </w:tc>
        <w:tc>
          <w:tcPr>
            <w:tcW w:w="900" w:type="dxa"/>
          </w:tcPr>
          <w:p w:rsidR="00F0630E" w:rsidRPr="00620367" w:rsidRDefault="00E40B54" w:rsidP="00CE3EED">
            <w:pPr>
              <w:jc w:val="both"/>
              <w:rPr>
                <w:rFonts w:ascii="Calibri" w:hAnsi="Calibri"/>
                <w:lang w:val="en-US"/>
              </w:rPr>
            </w:pPr>
            <w:r w:rsidRPr="00620367">
              <w:rPr>
                <w:rFonts w:ascii="Calibri" w:hAnsi="Calibri"/>
                <w:lang w:val="en-US"/>
              </w:rPr>
              <w:t>3.</w:t>
            </w:r>
            <w:r w:rsidR="00F0630E" w:rsidRPr="00620367">
              <w:rPr>
                <w:rFonts w:ascii="Calibri" w:hAnsi="Calibri"/>
                <w:lang w:val="en-US"/>
              </w:rPr>
              <w:t>5</w:t>
            </w:r>
          </w:p>
        </w:tc>
        <w:tc>
          <w:tcPr>
            <w:tcW w:w="1080" w:type="dxa"/>
          </w:tcPr>
          <w:p w:rsidR="00F0630E" w:rsidRPr="00620367" w:rsidRDefault="00E40B54" w:rsidP="00CE3EED">
            <w:pPr>
              <w:jc w:val="both"/>
              <w:rPr>
                <w:rFonts w:ascii="Calibri" w:hAnsi="Calibri"/>
                <w:lang w:val="en-US"/>
              </w:rPr>
            </w:pPr>
            <w:r w:rsidRPr="00620367">
              <w:rPr>
                <w:rFonts w:ascii="Calibri" w:hAnsi="Calibri"/>
                <w:lang w:val="en-US"/>
              </w:rPr>
              <w:t>1.</w:t>
            </w:r>
            <w:r w:rsidR="00F0630E" w:rsidRPr="00620367">
              <w:rPr>
                <w:rFonts w:ascii="Calibri" w:hAnsi="Calibri"/>
                <w:lang w:val="en-US"/>
              </w:rPr>
              <w:t>8</w:t>
            </w:r>
          </w:p>
        </w:tc>
        <w:tc>
          <w:tcPr>
            <w:tcW w:w="990" w:type="dxa"/>
          </w:tcPr>
          <w:p w:rsidR="00F0630E" w:rsidRPr="00620367" w:rsidRDefault="00E40B54" w:rsidP="00CE3EED">
            <w:pPr>
              <w:jc w:val="both"/>
              <w:rPr>
                <w:rFonts w:ascii="Calibri" w:hAnsi="Calibri"/>
                <w:lang w:val="en-US"/>
              </w:rPr>
            </w:pPr>
            <w:r w:rsidRPr="00620367">
              <w:rPr>
                <w:rFonts w:ascii="Calibri" w:hAnsi="Calibri"/>
                <w:lang w:val="en-US"/>
              </w:rPr>
              <w:t>3.</w:t>
            </w:r>
            <w:r w:rsidR="00F0630E" w:rsidRPr="00620367">
              <w:rPr>
                <w:rFonts w:ascii="Calibri" w:hAnsi="Calibri"/>
                <w:lang w:val="en-US"/>
              </w:rPr>
              <w:t>4</w:t>
            </w:r>
          </w:p>
        </w:tc>
        <w:tc>
          <w:tcPr>
            <w:tcW w:w="1080" w:type="dxa"/>
          </w:tcPr>
          <w:p w:rsidR="00F0630E" w:rsidRPr="00620367" w:rsidRDefault="00E40B54" w:rsidP="00CE3EED">
            <w:pPr>
              <w:jc w:val="both"/>
              <w:rPr>
                <w:rFonts w:ascii="Calibri" w:hAnsi="Calibri"/>
                <w:lang w:val="en-US"/>
              </w:rPr>
            </w:pPr>
            <w:r w:rsidRPr="00620367">
              <w:rPr>
                <w:rFonts w:ascii="Calibri" w:hAnsi="Calibri"/>
                <w:lang w:val="en-US"/>
              </w:rPr>
              <w:t>2.</w:t>
            </w:r>
            <w:r w:rsidR="00F0630E" w:rsidRPr="00620367">
              <w:rPr>
                <w:rFonts w:ascii="Calibri" w:hAnsi="Calibri"/>
                <w:lang w:val="en-US"/>
              </w:rPr>
              <w:t>9</w:t>
            </w:r>
          </w:p>
        </w:tc>
        <w:tc>
          <w:tcPr>
            <w:tcW w:w="1170" w:type="dxa"/>
          </w:tcPr>
          <w:p w:rsidR="00F0630E" w:rsidRPr="00620367" w:rsidRDefault="00E40B54" w:rsidP="00CE3EED">
            <w:pPr>
              <w:jc w:val="both"/>
              <w:rPr>
                <w:rFonts w:ascii="Calibri" w:hAnsi="Calibri"/>
                <w:lang w:val="en-US"/>
              </w:rPr>
            </w:pPr>
            <w:r w:rsidRPr="00620367">
              <w:rPr>
                <w:rFonts w:ascii="Calibri" w:hAnsi="Calibri"/>
                <w:lang w:val="en-US"/>
              </w:rPr>
              <w:t>3.</w:t>
            </w:r>
            <w:r w:rsidR="00F0630E" w:rsidRPr="00620367">
              <w:rPr>
                <w:rFonts w:ascii="Calibri" w:hAnsi="Calibri"/>
                <w:lang w:val="en-US"/>
              </w:rPr>
              <w:t>2</w:t>
            </w:r>
          </w:p>
        </w:tc>
        <w:tc>
          <w:tcPr>
            <w:tcW w:w="1124" w:type="dxa"/>
          </w:tcPr>
          <w:p w:rsidR="00F0630E" w:rsidRPr="00620367" w:rsidRDefault="00E40B54" w:rsidP="00CE3EED">
            <w:pPr>
              <w:jc w:val="both"/>
              <w:rPr>
                <w:rFonts w:ascii="Calibri" w:hAnsi="Calibri"/>
                <w:lang w:val="en-US"/>
              </w:rPr>
            </w:pPr>
            <w:r w:rsidRPr="00620367">
              <w:rPr>
                <w:rFonts w:ascii="Calibri" w:hAnsi="Calibri"/>
                <w:lang w:val="en-US"/>
              </w:rPr>
              <w:t>5.</w:t>
            </w:r>
            <w:r w:rsidR="00F0630E" w:rsidRPr="00620367">
              <w:rPr>
                <w:rFonts w:ascii="Calibri" w:hAnsi="Calibri"/>
                <w:lang w:val="en-US"/>
              </w:rPr>
              <w:t>1</w:t>
            </w:r>
          </w:p>
        </w:tc>
      </w:tr>
      <w:tr w:rsidR="00957D41" w:rsidRPr="00620367" w:rsidTr="00957D41">
        <w:tc>
          <w:tcPr>
            <w:tcW w:w="2439" w:type="dxa"/>
          </w:tcPr>
          <w:p w:rsidR="00F0630E" w:rsidRPr="00620367" w:rsidRDefault="00E40B54" w:rsidP="00E40B54">
            <w:pPr>
              <w:jc w:val="both"/>
              <w:rPr>
                <w:rFonts w:ascii="Calibri" w:hAnsi="Calibri"/>
                <w:lang w:val="en-US"/>
              </w:rPr>
            </w:pPr>
            <w:r w:rsidRPr="00620367">
              <w:rPr>
                <w:rFonts w:ascii="Calibri" w:hAnsi="Calibri"/>
                <w:lang w:val="en-US"/>
              </w:rPr>
              <w:t xml:space="preserve">Inflation rate </w:t>
            </w:r>
            <w:r w:rsidR="00F0630E" w:rsidRPr="00620367">
              <w:rPr>
                <w:rFonts w:ascii="Calibri" w:hAnsi="Calibri"/>
                <w:lang w:val="en-US"/>
              </w:rPr>
              <w:t>(</w:t>
            </w:r>
            <w:r w:rsidRPr="00620367">
              <w:rPr>
                <w:rFonts w:ascii="Calibri" w:hAnsi="Calibri"/>
                <w:lang w:val="en-US"/>
              </w:rPr>
              <w:t>in</w:t>
            </w:r>
            <w:r w:rsidR="00F0630E" w:rsidRPr="00620367">
              <w:rPr>
                <w:rFonts w:ascii="Calibri" w:hAnsi="Calibri"/>
                <w:lang w:val="en-US"/>
              </w:rPr>
              <w:t xml:space="preserve"> %)</w:t>
            </w:r>
          </w:p>
        </w:tc>
        <w:tc>
          <w:tcPr>
            <w:tcW w:w="900" w:type="dxa"/>
          </w:tcPr>
          <w:p w:rsidR="00F0630E" w:rsidRPr="00620367" w:rsidRDefault="00E40B54" w:rsidP="00CE3EED">
            <w:pPr>
              <w:jc w:val="both"/>
              <w:rPr>
                <w:rFonts w:ascii="Calibri" w:hAnsi="Calibri"/>
                <w:lang w:val="en-US"/>
              </w:rPr>
            </w:pPr>
            <w:r w:rsidRPr="00620367">
              <w:rPr>
                <w:rFonts w:ascii="Calibri" w:hAnsi="Calibri"/>
                <w:lang w:val="en-US"/>
              </w:rPr>
              <w:t>2.</w:t>
            </w:r>
            <w:r w:rsidR="00F0630E" w:rsidRPr="00620367">
              <w:rPr>
                <w:rFonts w:ascii="Calibri" w:hAnsi="Calibri"/>
                <w:lang w:val="en-US"/>
              </w:rPr>
              <w:t>2</w:t>
            </w:r>
          </w:p>
        </w:tc>
        <w:tc>
          <w:tcPr>
            <w:tcW w:w="1080" w:type="dxa"/>
          </w:tcPr>
          <w:p w:rsidR="00F0630E" w:rsidRPr="00620367" w:rsidRDefault="00E40B54" w:rsidP="00CE3EED">
            <w:pPr>
              <w:jc w:val="both"/>
              <w:rPr>
                <w:rFonts w:ascii="Calibri" w:hAnsi="Calibri"/>
                <w:lang w:val="en-US"/>
              </w:rPr>
            </w:pPr>
            <w:r w:rsidRPr="00620367">
              <w:rPr>
                <w:rFonts w:ascii="Calibri" w:hAnsi="Calibri"/>
                <w:lang w:val="en-US"/>
              </w:rPr>
              <w:t>-0.</w:t>
            </w:r>
            <w:r w:rsidR="00F0630E" w:rsidRPr="00620367">
              <w:rPr>
                <w:rFonts w:ascii="Calibri" w:hAnsi="Calibri"/>
                <w:lang w:val="en-US"/>
              </w:rPr>
              <w:t>7</w:t>
            </w:r>
          </w:p>
        </w:tc>
        <w:tc>
          <w:tcPr>
            <w:tcW w:w="990" w:type="dxa"/>
          </w:tcPr>
          <w:p w:rsidR="00F0630E" w:rsidRPr="00620367" w:rsidRDefault="00E40B54" w:rsidP="00CE3EED">
            <w:pPr>
              <w:jc w:val="both"/>
              <w:rPr>
                <w:rFonts w:ascii="Calibri" w:hAnsi="Calibri"/>
                <w:lang w:val="en-US"/>
              </w:rPr>
            </w:pPr>
            <w:r w:rsidRPr="00620367">
              <w:rPr>
                <w:rFonts w:ascii="Calibri" w:hAnsi="Calibri"/>
                <w:lang w:val="en-US"/>
              </w:rPr>
              <w:t>1.</w:t>
            </w:r>
            <w:r w:rsidR="00F0630E" w:rsidRPr="00620367">
              <w:rPr>
                <w:rFonts w:ascii="Calibri" w:hAnsi="Calibri"/>
                <w:lang w:val="en-US"/>
              </w:rPr>
              <w:t>5</w:t>
            </w:r>
          </w:p>
        </w:tc>
        <w:tc>
          <w:tcPr>
            <w:tcW w:w="1080" w:type="dxa"/>
          </w:tcPr>
          <w:p w:rsidR="00F0630E" w:rsidRPr="00620367" w:rsidRDefault="00E40B54" w:rsidP="00CE3EED">
            <w:pPr>
              <w:jc w:val="both"/>
              <w:rPr>
                <w:rFonts w:ascii="Calibri" w:hAnsi="Calibri"/>
                <w:lang w:val="en-US"/>
              </w:rPr>
            </w:pPr>
            <w:r w:rsidRPr="00620367">
              <w:rPr>
                <w:rFonts w:ascii="Calibri" w:hAnsi="Calibri"/>
                <w:lang w:val="en-US"/>
              </w:rPr>
              <w:t>-0.</w:t>
            </w:r>
            <w:r w:rsidR="00F0630E" w:rsidRPr="00620367">
              <w:rPr>
                <w:rFonts w:ascii="Calibri" w:hAnsi="Calibri"/>
                <w:lang w:val="en-US"/>
              </w:rPr>
              <w:t>2</w:t>
            </w:r>
          </w:p>
        </w:tc>
        <w:tc>
          <w:tcPr>
            <w:tcW w:w="1170" w:type="dxa"/>
          </w:tcPr>
          <w:p w:rsidR="00F0630E" w:rsidRPr="00620367" w:rsidRDefault="00E40B54" w:rsidP="00CE3EED">
            <w:pPr>
              <w:jc w:val="both"/>
              <w:rPr>
                <w:rFonts w:ascii="Calibri" w:hAnsi="Calibri"/>
                <w:lang w:val="en-US"/>
              </w:rPr>
            </w:pPr>
            <w:r w:rsidRPr="00620367">
              <w:rPr>
                <w:rFonts w:ascii="Calibri" w:hAnsi="Calibri"/>
                <w:lang w:val="en-US"/>
              </w:rPr>
              <w:t>Jan</w:t>
            </w:r>
            <w:r w:rsidR="00F0630E" w:rsidRPr="00620367">
              <w:rPr>
                <w:rFonts w:ascii="Calibri" w:hAnsi="Calibri"/>
                <w:lang w:val="en-US"/>
              </w:rPr>
              <w:t>-</w:t>
            </w:r>
            <w:r w:rsidRPr="00620367">
              <w:rPr>
                <w:rFonts w:ascii="Calibri" w:hAnsi="Calibri"/>
                <w:lang w:val="en-US"/>
              </w:rPr>
              <w:t>Oct</w:t>
            </w:r>
          </w:p>
          <w:p w:rsidR="00F0630E" w:rsidRPr="00620367" w:rsidRDefault="00E40B54" w:rsidP="00CE3EED">
            <w:pPr>
              <w:jc w:val="both"/>
              <w:rPr>
                <w:rFonts w:ascii="Calibri" w:hAnsi="Calibri"/>
                <w:lang w:val="en-US"/>
              </w:rPr>
            </w:pPr>
            <w:r w:rsidRPr="00620367">
              <w:rPr>
                <w:rFonts w:ascii="Calibri" w:hAnsi="Calibri"/>
                <w:lang w:val="en-US"/>
              </w:rPr>
              <w:t>2.</w:t>
            </w:r>
            <w:r w:rsidR="00F0630E" w:rsidRPr="00620367">
              <w:rPr>
                <w:rFonts w:ascii="Calibri" w:hAnsi="Calibri"/>
                <w:lang w:val="en-US"/>
              </w:rPr>
              <w:t>4</w:t>
            </w:r>
          </w:p>
        </w:tc>
        <w:tc>
          <w:tcPr>
            <w:tcW w:w="1124" w:type="dxa"/>
          </w:tcPr>
          <w:p w:rsidR="00F0630E" w:rsidRPr="00620367" w:rsidRDefault="00E40B54" w:rsidP="00CE3EED">
            <w:pPr>
              <w:jc w:val="both"/>
              <w:rPr>
                <w:rFonts w:ascii="Calibri" w:hAnsi="Calibri"/>
                <w:lang w:val="en-US"/>
              </w:rPr>
            </w:pPr>
            <w:r w:rsidRPr="00620367">
              <w:rPr>
                <w:rFonts w:ascii="Calibri" w:hAnsi="Calibri"/>
                <w:lang w:val="en-US"/>
              </w:rPr>
              <w:t>Jan</w:t>
            </w:r>
            <w:r w:rsidR="00F0630E" w:rsidRPr="00620367">
              <w:rPr>
                <w:rFonts w:ascii="Calibri" w:hAnsi="Calibri"/>
                <w:lang w:val="en-US"/>
              </w:rPr>
              <w:t>-</w:t>
            </w:r>
            <w:r w:rsidRPr="00620367">
              <w:rPr>
                <w:rFonts w:ascii="Calibri" w:hAnsi="Calibri"/>
                <w:lang w:val="en-US"/>
              </w:rPr>
              <w:t>Oct</w:t>
            </w:r>
          </w:p>
          <w:p w:rsidR="00F0630E" w:rsidRPr="00620367" w:rsidRDefault="00E40B54" w:rsidP="00CE3EED">
            <w:pPr>
              <w:jc w:val="both"/>
              <w:rPr>
                <w:rFonts w:ascii="Calibri" w:hAnsi="Calibri"/>
                <w:lang w:val="en-US"/>
              </w:rPr>
            </w:pPr>
            <w:r w:rsidRPr="00620367">
              <w:rPr>
                <w:rFonts w:ascii="Calibri" w:hAnsi="Calibri"/>
                <w:lang w:val="en-US"/>
              </w:rPr>
              <w:t>2.</w:t>
            </w:r>
            <w:r w:rsidR="00F0630E" w:rsidRPr="00620367">
              <w:rPr>
                <w:rFonts w:ascii="Calibri" w:hAnsi="Calibri"/>
                <w:lang w:val="en-US"/>
              </w:rPr>
              <w:t>4</w:t>
            </w:r>
          </w:p>
        </w:tc>
      </w:tr>
      <w:tr w:rsidR="00957D41" w:rsidRPr="00620367" w:rsidTr="00957D41">
        <w:tc>
          <w:tcPr>
            <w:tcW w:w="2439" w:type="dxa"/>
          </w:tcPr>
          <w:p w:rsidR="00F0630E" w:rsidRPr="00620367" w:rsidRDefault="00E40B54" w:rsidP="00E40B54">
            <w:pPr>
              <w:jc w:val="both"/>
              <w:rPr>
                <w:rFonts w:ascii="Calibri" w:hAnsi="Calibri"/>
                <w:lang w:val="en-US"/>
              </w:rPr>
            </w:pPr>
            <w:r w:rsidRPr="00620367">
              <w:rPr>
                <w:rFonts w:ascii="Calibri" w:hAnsi="Calibri"/>
                <w:lang w:val="en-US"/>
              </w:rPr>
              <w:t>G</w:t>
            </w:r>
            <w:r w:rsidR="00F0630E" w:rsidRPr="00620367">
              <w:rPr>
                <w:rFonts w:ascii="Calibri" w:hAnsi="Calibri"/>
                <w:lang w:val="en-US"/>
              </w:rPr>
              <w:t>DP per capita</w:t>
            </w:r>
            <w:r w:rsidRPr="00620367">
              <w:rPr>
                <w:rFonts w:ascii="Calibri" w:hAnsi="Calibri"/>
                <w:lang w:val="en-US"/>
              </w:rPr>
              <w:t xml:space="preserve"> </w:t>
            </w:r>
            <w:r w:rsidR="00F0630E" w:rsidRPr="00620367">
              <w:rPr>
                <w:rFonts w:ascii="Calibri" w:hAnsi="Calibri"/>
                <w:lang w:val="en-US"/>
              </w:rPr>
              <w:t>(</w:t>
            </w:r>
            <w:r w:rsidRPr="00620367">
              <w:rPr>
                <w:rFonts w:ascii="Calibri" w:hAnsi="Calibri"/>
                <w:lang w:val="en-US"/>
              </w:rPr>
              <w:t>in</w:t>
            </w:r>
            <w:r w:rsidR="00F0630E" w:rsidRPr="00620367">
              <w:rPr>
                <w:rFonts w:ascii="Calibri" w:hAnsi="Calibri"/>
                <w:lang w:val="en-US"/>
              </w:rPr>
              <w:t xml:space="preserve"> €)</w:t>
            </w:r>
          </w:p>
        </w:tc>
        <w:tc>
          <w:tcPr>
            <w:tcW w:w="900" w:type="dxa"/>
          </w:tcPr>
          <w:p w:rsidR="00F0630E" w:rsidRPr="00620367" w:rsidRDefault="00957D41" w:rsidP="00CE3EED">
            <w:pPr>
              <w:jc w:val="both"/>
              <w:rPr>
                <w:rFonts w:ascii="Calibri" w:hAnsi="Calibri"/>
                <w:lang w:val="en-US"/>
              </w:rPr>
            </w:pPr>
            <w:r w:rsidRPr="00620367">
              <w:rPr>
                <w:rFonts w:ascii="Calibri" w:hAnsi="Calibri"/>
                <w:lang w:val="en-US"/>
              </w:rPr>
              <w:t>5,</w:t>
            </w:r>
            <w:r w:rsidR="00F0630E" w:rsidRPr="00620367">
              <w:rPr>
                <w:rFonts w:ascii="Calibri" w:hAnsi="Calibri"/>
                <w:lang w:val="en-US"/>
              </w:rPr>
              <w:t xml:space="preserve">412 </w:t>
            </w:r>
          </w:p>
        </w:tc>
        <w:tc>
          <w:tcPr>
            <w:tcW w:w="1080" w:type="dxa"/>
          </w:tcPr>
          <w:p w:rsidR="00F0630E" w:rsidRPr="00620367" w:rsidRDefault="00957D41" w:rsidP="00CE3EED">
            <w:pPr>
              <w:jc w:val="both"/>
              <w:rPr>
                <w:rFonts w:ascii="Calibri" w:hAnsi="Calibri"/>
                <w:lang w:val="en-US"/>
              </w:rPr>
            </w:pPr>
            <w:r w:rsidRPr="00620367">
              <w:rPr>
                <w:rFonts w:ascii="Calibri" w:hAnsi="Calibri"/>
                <w:lang w:val="en-US"/>
              </w:rPr>
              <w:t>5,</w:t>
            </w:r>
            <w:r w:rsidR="00F0630E" w:rsidRPr="00620367">
              <w:rPr>
                <w:rFonts w:ascii="Calibri" w:hAnsi="Calibri"/>
                <w:lang w:val="en-US"/>
              </w:rPr>
              <w:t>561</w:t>
            </w:r>
          </w:p>
        </w:tc>
        <w:tc>
          <w:tcPr>
            <w:tcW w:w="990" w:type="dxa"/>
          </w:tcPr>
          <w:p w:rsidR="00F0630E" w:rsidRPr="00620367" w:rsidRDefault="00957D41" w:rsidP="00CE3EED">
            <w:pPr>
              <w:jc w:val="both"/>
              <w:rPr>
                <w:rFonts w:ascii="Calibri" w:hAnsi="Calibri"/>
                <w:lang w:val="en-US"/>
              </w:rPr>
            </w:pPr>
            <w:r w:rsidRPr="00620367">
              <w:rPr>
                <w:rFonts w:ascii="Calibri" w:hAnsi="Calibri"/>
                <w:lang w:val="en-US"/>
              </w:rPr>
              <w:t>5,</w:t>
            </w:r>
            <w:r w:rsidR="00F0630E" w:rsidRPr="00620367">
              <w:rPr>
                <w:rFonts w:ascii="Calibri" w:hAnsi="Calibri"/>
                <w:lang w:val="en-US"/>
              </w:rPr>
              <w:t>826</w:t>
            </w:r>
          </w:p>
        </w:tc>
        <w:tc>
          <w:tcPr>
            <w:tcW w:w="1080" w:type="dxa"/>
          </w:tcPr>
          <w:p w:rsidR="00F0630E" w:rsidRPr="00620367" w:rsidRDefault="00957D41" w:rsidP="00CE3EED">
            <w:pPr>
              <w:jc w:val="both"/>
              <w:rPr>
                <w:rFonts w:ascii="Calibri" w:hAnsi="Calibri"/>
                <w:lang w:val="en-US"/>
              </w:rPr>
            </w:pPr>
            <w:r w:rsidRPr="00620367">
              <w:rPr>
                <w:rFonts w:ascii="Calibri" w:hAnsi="Calibri"/>
                <w:lang w:val="en-US"/>
              </w:rPr>
              <w:t>6,</w:t>
            </w:r>
            <w:r w:rsidR="00F0630E" w:rsidRPr="00620367">
              <w:rPr>
                <w:rFonts w:ascii="Calibri" w:hAnsi="Calibri"/>
                <w:lang w:val="en-US"/>
              </w:rPr>
              <w:t>060</w:t>
            </w:r>
          </w:p>
        </w:tc>
        <w:tc>
          <w:tcPr>
            <w:tcW w:w="1170" w:type="dxa"/>
          </w:tcPr>
          <w:p w:rsidR="00F0630E" w:rsidRPr="00620367" w:rsidRDefault="00F0630E" w:rsidP="00CE3EED">
            <w:pPr>
              <w:jc w:val="both"/>
              <w:rPr>
                <w:rFonts w:ascii="Calibri" w:hAnsi="Calibri"/>
                <w:lang w:val="en-US"/>
              </w:rPr>
            </w:pPr>
            <w:r w:rsidRPr="00620367">
              <w:rPr>
                <w:rFonts w:ascii="Calibri" w:hAnsi="Calibri"/>
                <w:lang w:val="en-US"/>
              </w:rPr>
              <w:t>-</w:t>
            </w:r>
          </w:p>
        </w:tc>
        <w:tc>
          <w:tcPr>
            <w:tcW w:w="1124" w:type="dxa"/>
          </w:tcPr>
          <w:p w:rsidR="00F0630E" w:rsidRPr="00620367" w:rsidRDefault="00F0630E" w:rsidP="00CE3EED">
            <w:pPr>
              <w:jc w:val="both"/>
              <w:rPr>
                <w:rFonts w:ascii="Calibri" w:hAnsi="Calibri"/>
                <w:lang w:val="en-US"/>
              </w:rPr>
            </w:pPr>
            <w:r w:rsidRPr="00620367">
              <w:rPr>
                <w:rFonts w:ascii="Calibri" w:hAnsi="Calibri"/>
                <w:lang w:val="en-US"/>
              </w:rPr>
              <w:t>-</w:t>
            </w:r>
          </w:p>
        </w:tc>
      </w:tr>
      <w:tr w:rsidR="00957D41" w:rsidRPr="00620367" w:rsidTr="00957D41">
        <w:tc>
          <w:tcPr>
            <w:tcW w:w="2439" w:type="dxa"/>
          </w:tcPr>
          <w:p w:rsidR="00F0630E" w:rsidRPr="00620367" w:rsidRDefault="00E40B54" w:rsidP="00E40B54">
            <w:pPr>
              <w:jc w:val="both"/>
              <w:rPr>
                <w:rFonts w:ascii="Calibri" w:hAnsi="Calibri"/>
                <w:lang w:val="en-US"/>
              </w:rPr>
            </w:pPr>
            <w:r w:rsidRPr="00620367">
              <w:rPr>
                <w:rFonts w:ascii="Calibri" w:hAnsi="Calibri"/>
                <w:lang w:val="en-US"/>
              </w:rPr>
              <w:t xml:space="preserve">Average </w:t>
            </w:r>
            <w:r w:rsidR="00F0630E" w:rsidRPr="00620367">
              <w:rPr>
                <w:rFonts w:ascii="Calibri" w:hAnsi="Calibri"/>
                <w:lang w:val="en-US"/>
              </w:rPr>
              <w:t>net</w:t>
            </w:r>
            <w:r w:rsidRPr="00620367">
              <w:rPr>
                <w:rFonts w:ascii="Calibri" w:hAnsi="Calibri"/>
                <w:lang w:val="en-US"/>
              </w:rPr>
              <w:t xml:space="preserve"> wage </w:t>
            </w:r>
            <w:r w:rsidR="00F0630E" w:rsidRPr="00620367">
              <w:rPr>
                <w:rFonts w:ascii="Calibri" w:hAnsi="Calibri"/>
                <w:lang w:val="en-US"/>
              </w:rPr>
              <w:t>(</w:t>
            </w:r>
            <w:r w:rsidRPr="00620367">
              <w:rPr>
                <w:rFonts w:ascii="Calibri" w:hAnsi="Calibri"/>
                <w:lang w:val="en-US"/>
              </w:rPr>
              <w:t>in</w:t>
            </w:r>
            <w:r w:rsidR="00F0630E" w:rsidRPr="00620367">
              <w:rPr>
                <w:rFonts w:ascii="Calibri" w:hAnsi="Calibri"/>
                <w:lang w:val="en-US"/>
              </w:rPr>
              <w:t xml:space="preserve"> €)</w:t>
            </w:r>
          </w:p>
        </w:tc>
        <w:tc>
          <w:tcPr>
            <w:tcW w:w="900" w:type="dxa"/>
          </w:tcPr>
          <w:p w:rsidR="00F0630E" w:rsidRPr="00620367" w:rsidRDefault="00F0630E" w:rsidP="00CE3EED">
            <w:pPr>
              <w:jc w:val="both"/>
              <w:rPr>
                <w:rFonts w:ascii="Calibri" w:hAnsi="Calibri"/>
                <w:lang w:val="en-US"/>
              </w:rPr>
            </w:pPr>
            <w:r w:rsidRPr="00620367">
              <w:rPr>
                <w:rFonts w:ascii="Calibri" w:hAnsi="Calibri"/>
                <w:lang w:val="en-US"/>
              </w:rPr>
              <w:t>479</w:t>
            </w:r>
          </w:p>
        </w:tc>
        <w:tc>
          <w:tcPr>
            <w:tcW w:w="1080" w:type="dxa"/>
          </w:tcPr>
          <w:p w:rsidR="00F0630E" w:rsidRPr="00620367" w:rsidRDefault="00F0630E" w:rsidP="00CE3EED">
            <w:pPr>
              <w:jc w:val="both"/>
              <w:rPr>
                <w:rFonts w:ascii="Calibri" w:hAnsi="Calibri"/>
                <w:lang w:val="en-US"/>
              </w:rPr>
            </w:pPr>
            <w:r w:rsidRPr="00620367">
              <w:rPr>
                <w:rFonts w:ascii="Calibri" w:hAnsi="Calibri"/>
                <w:lang w:val="en-US"/>
              </w:rPr>
              <w:t>477</w:t>
            </w:r>
          </w:p>
        </w:tc>
        <w:tc>
          <w:tcPr>
            <w:tcW w:w="990" w:type="dxa"/>
          </w:tcPr>
          <w:p w:rsidR="00F0630E" w:rsidRPr="00620367" w:rsidRDefault="00F0630E" w:rsidP="00CE3EED">
            <w:pPr>
              <w:jc w:val="both"/>
              <w:rPr>
                <w:rFonts w:ascii="Calibri" w:hAnsi="Calibri"/>
                <w:lang w:val="en-US"/>
              </w:rPr>
            </w:pPr>
            <w:r w:rsidRPr="00620367">
              <w:rPr>
                <w:rFonts w:ascii="Calibri" w:hAnsi="Calibri"/>
                <w:lang w:val="en-US"/>
              </w:rPr>
              <w:t>480</w:t>
            </w:r>
          </w:p>
        </w:tc>
        <w:tc>
          <w:tcPr>
            <w:tcW w:w="1080" w:type="dxa"/>
          </w:tcPr>
          <w:p w:rsidR="00F0630E" w:rsidRPr="00620367" w:rsidRDefault="00F0630E" w:rsidP="00CE3EED">
            <w:pPr>
              <w:jc w:val="both"/>
              <w:rPr>
                <w:rFonts w:ascii="Calibri" w:hAnsi="Calibri"/>
                <w:lang w:val="en-US"/>
              </w:rPr>
            </w:pPr>
            <w:r w:rsidRPr="00620367">
              <w:rPr>
                <w:rFonts w:ascii="Calibri" w:hAnsi="Calibri"/>
                <w:lang w:val="en-US"/>
              </w:rPr>
              <w:t>499</w:t>
            </w:r>
          </w:p>
        </w:tc>
        <w:tc>
          <w:tcPr>
            <w:tcW w:w="1170" w:type="dxa"/>
          </w:tcPr>
          <w:p w:rsidR="00F0630E" w:rsidRPr="00620367" w:rsidRDefault="00F0630E" w:rsidP="00CE3EED">
            <w:pPr>
              <w:jc w:val="both"/>
              <w:rPr>
                <w:rFonts w:ascii="Calibri" w:hAnsi="Calibri"/>
                <w:lang w:val="en-US"/>
              </w:rPr>
            </w:pPr>
            <w:r w:rsidRPr="00620367">
              <w:rPr>
                <w:rFonts w:ascii="Calibri" w:hAnsi="Calibri"/>
                <w:lang w:val="en-US"/>
              </w:rPr>
              <w:t>511</w:t>
            </w:r>
          </w:p>
        </w:tc>
        <w:tc>
          <w:tcPr>
            <w:tcW w:w="1124" w:type="dxa"/>
          </w:tcPr>
          <w:p w:rsidR="00F0630E" w:rsidRPr="00620367" w:rsidRDefault="00F0630E" w:rsidP="00CE3EED">
            <w:pPr>
              <w:jc w:val="both"/>
              <w:rPr>
                <w:rFonts w:ascii="Calibri" w:hAnsi="Calibri"/>
                <w:lang w:val="en-US"/>
              </w:rPr>
            </w:pPr>
            <w:r w:rsidRPr="00620367">
              <w:rPr>
                <w:rFonts w:ascii="Calibri" w:hAnsi="Calibri"/>
                <w:lang w:val="en-US"/>
              </w:rPr>
              <w:t>511</w:t>
            </w:r>
          </w:p>
        </w:tc>
      </w:tr>
      <w:tr w:rsidR="00957D41" w:rsidRPr="00620367" w:rsidTr="00957D41">
        <w:tc>
          <w:tcPr>
            <w:tcW w:w="2439" w:type="dxa"/>
          </w:tcPr>
          <w:p w:rsidR="00F0630E" w:rsidRPr="00620367" w:rsidRDefault="00E40B54" w:rsidP="00E40B54">
            <w:pPr>
              <w:jc w:val="both"/>
              <w:rPr>
                <w:rFonts w:ascii="Calibri" w:hAnsi="Calibri"/>
                <w:lang w:val="en-US"/>
              </w:rPr>
            </w:pPr>
            <w:r w:rsidRPr="00620367">
              <w:rPr>
                <w:rFonts w:ascii="Calibri" w:hAnsi="Calibri"/>
                <w:lang w:val="en-US"/>
              </w:rPr>
              <w:t xml:space="preserve">Average pension </w:t>
            </w:r>
            <w:r w:rsidR="00F0630E" w:rsidRPr="00620367">
              <w:rPr>
                <w:rFonts w:ascii="Calibri" w:hAnsi="Calibri"/>
                <w:lang w:val="en-US"/>
              </w:rPr>
              <w:t>(</w:t>
            </w:r>
            <w:r w:rsidRPr="00620367">
              <w:rPr>
                <w:rFonts w:ascii="Calibri" w:hAnsi="Calibri"/>
                <w:lang w:val="en-US"/>
              </w:rPr>
              <w:t>in</w:t>
            </w:r>
            <w:r w:rsidR="00F0630E" w:rsidRPr="00620367">
              <w:rPr>
                <w:rFonts w:ascii="Calibri" w:hAnsi="Calibri"/>
                <w:lang w:val="en-US"/>
              </w:rPr>
              <w:t xml:space="preserve"> €)</w:t>
            </w:r>
          </w:p>
        </w:tc>
        <w:tc>
          <w:tcPr>
            <w:tcW w:w="900" w:type="dxa"/>
          </w:tcPr>
          <w:p w:rsidR="00F0630E" w:rsidRPr="00620367" w:rsidRDefault="00F0630E" w:rsidP="00CE3EED">
            <w:pPr>
              <w:jc w:val="both"/>
              <w:rPr>
                <w:rFonts w:ascii="Calibri" w:hAnsi="Calibri"/>
                <w:lang w:val="en-US"/>
              </w:rPr>
            </w:pPr>
            <w:r w:rsidRPr="00620367">
              <w:rPr>
                <w:rFonts w:ascii="Calibri" w:hAnsi="Calibri"/>
                <w:lang w:val="en-US"/>
              </w:rPr>
              <w:t>275</w:t>
            </w:r>
          </w:p>
        </w:tc>
        <w:tc>
          <w:tcPr>
            <w:tcW w:w="1080" w:type="dxa"/>
          </w:tcPr>
          <w:p w:rsidR="00F0630E" w:rsidRPr="00620367" w:rsidRDefault="00F0630E" w:rsidP="00CE3EED">
            <w:pPr>
              <w:jc w:val="both"/>
              <w:rPr>
                <w:rFonts w:ascii="Calibri" w:hAnsi="Calibri"/>
                <w:lang w:val="en-US"/>
              </w:rPr>
            </w:pPr>
            <w:r w:rsidRPr="00620367">
              <w:rPr>
                <w:rFonts w:ascii="Calibri" w:hAnsi="Calibri"/>
                <w:lang w:val="en-US"/>
              </w:rPr>
              <w:t>275</w:t>
            </w:r>
          </w:p>
        </w:tc>
        <w:tc>
          <w:tcPr>
            <w:tcW w:w="990" w:type="dxa"/>
          </w:tcPr>
          <w:p w:rsidR="00F0630E" w:rsidRPr="00620367" w:rsidRDefault="00957D41" w:rsidP="00CE3EED">
            <w:pPr>
              <w:jc w:val="both"/>
              <w:rPr>
                <w:rFonts w:ascii="Calibri" w:hAnsi="Calibri"/>
                <w:lang w:val="en-US"/>
              </w:rPr>
            </w:pPr>
            <w:r w:rsidRPr="00620367">
              <w:rPr>
                <w:rFonts w:ascii="Calibri" w:hAnsi="Calibri"/>
                <w:lang w:val="en-US"/>
              </w:rPr>
              <w:t>270.</w:t>
            </w:r>
            <w:r w:rsidR="00F0630E" w:rsidRPr="00620367">
              <w:rPr>
                <w:rFonts w:ascii="Calibri" w:hAnsi="Calibri"/>
                <w:lang w:val="en-US"/>
              </w:rPr>
              <w:t>41</w:t>
            </w:r>
          </w:p>
        </w:tc>
        <w:tc>
          <w:tcPr>
            <w:tcW w:w="1080" w:type="dxa"/>
          </w:tcPr>
          <w:p w:rsidR="00F0630E" w:rsidRPr="00620367" w:rsidRDefault="00957D41" w:rsidP="00CE3EED">
            <w:pPr>
              <w:jc w:val="both"/>
              <w:rPr>
                <w:rFonts w:ascii="Calibri" w:hAnsi="Calibri"/>
                <w:lang w:val="en-US"/>
              </w:rPr>
            </w:pPr>
            <w:r w:rsidRPr="00620367">
              <w:rPr>
                <w:rFonts w:ascii="Calibri" w:hAnsi="Calibri"/>
                <w:lang w:val="en-US"/>
              </w:rPr>
              <w:t>284.</w:t>
            </w:r>
            <w:r w:rsidR="00F0630E" w:rsidRPr="00620367">
              <w:rPr>
                <w:rFonts w:ascii="Calibri" w:hAnsi="Calibri"/>
                <w:lang w:val="en-US"/>
              </w:rPr>
              <w:t>32</w:t>
            </w:r>
          </w:p>
        </w:tc>
        <w:tc>
          <w:tcPr>
            <w:tcW w:w="1170" w:type="dxa"/>
          </w:tcPr>
          <w:p w:rsidR="00F0630E" w:rsidRPr="00620367" w:rsidRDefault="00957D41" w:rsidP="00CE3EED">
            <w:pPr>
              <w:jc w:val="both"/>
              <w:rPr>
                <w:rFonts w:ascii="Calibri" w:hAnsi="Calibri"/>
                <w:lang w:val="en-US"/>
              </w:rPr>
            </w:pPr>
            <w:r w:rsidRPr="00620367">
              <w:rPr>
                <w:rFonts w:ascii="Calibri" w:hAnsi="Calibri"/>
                <w:lang w:val="en-US"/>
              </w:rPr>
              <w:t>Jan</w:t>
            </w:r>
          </w:p>
          <w:p w:rsidR="00F0630E" w:rsidRPr="00620367" w:rsidRDefault="00957D41" w:rsidP="00CE3EED">
            <w:pPr>
              <w:jc w:val="both"/>
              <w:rPr>
                <w:rFonts w:ascii="Calibri" w:hAnsi="Calibri"/>
                <w:lang w:val="en-US"/>
              </w:rPr>
            </w:pPr>
            <w:r w:rsidRPr="00620367">
              <w:rPr>
                <w:rFonts w:ascii="Calibri" w:hAnsi="Calibri"/>
                <w:lang w:val="en-US"/>
              </w:rPr>
              <w:t>286.</w:t>
            </w:r>
            <w:r w:rsidR="00F0630E" w:rsidRPr="00620367">
              <w:rPr>
                <w:rFonts w:ascii="Calibri" w:hAnsi="Calibri"/>
                <w:lang w:val="en-US"/>
              </w:rPr>
              <w:t>14</w:t>
            </w:r>
          </w:p>
        </w:tc>
        <w:tc>
          <w:tcPr>
            <w:tcW w:w="1124" w:type="dxa"/>
          </w:tcPr>
          <w:p w:rsidR="00F0630E" w:rsidRPr="00620367" w:rsidRDefault="00957D41" w:rsidP="00CE3EED">
            <w:pPr>
              <w:jc w:val="both"/>
              <w:rPr>
                <w:rFonts w:ascii="Calibri" w:hAnsi="Calibri"/>
                <w:lang w:val="en-US"/>
              </w:rPr>
            </w:pPr>
            <w:r w:rsidRPr="00620367">
              <w:rPr>
                <w:rFonts w:ascii="Calibri" w:hAnsi="Calibri"/>
                <w:lang w:val="en-US"/>
              </w:rPr>
              <w:t>Oct</w:t>
            </w:r>
          </w:p>
          <w:p w:rsidR="00F0630E" w:rsidRPr="00620367" w:rsidRDefault="00957D41" w:rsidP="00CE3EED">
            <w:pPr>
              <w:jc w:val="both"/>
              <w:rPr>
                <w:rFonts w:ascii="Calibri" w:hAnsi="Calibri"/>
                <w:lang w:val="en-US"/>
              </w:rPr>
            </w:pPr>
            <w:r w:rsidRPr="00620367">
              <w:rPr>
                <w:rFonts w:ascii="Calibri" w:hAnsi="Calibri"/>
                <w:lang w:val="en-US"/>
              </w:rPr>
              <w:t>280.</w:t>
            </w:r>
            <w:r w:rsidR="00F0630E" w:rsidRPr="00620367">
              <w:rPr>
                <w:rFonts w:ascii="Calibri" w:hAnsi="Calibri"/>
                <w:lang w:val="en-US"/>
              </w:rPr>
              <w:t>05</w:t>
            </w:r>
          </w:p>
        </w:tc>
      </w:tr>
      <w:tr w:rsidR="00957D41" w:rsidRPr="00620367" w:rsidTr="00957D41">
        <w:tc>
          <w:tcPr>
            <w:tcW w:w="2439" w:type="dxa"/>
          </w:tcPr>
          <w:p w:rsidR="00F0630E" w:rsidRPr="00620367" w:rsidRDefault="00F0630E" w:rsidP="00CE3EED">
            <w:pPr>
              <w:jc w:val="both"/>
              <w:rPr>
                <w:rFonts w:ascii="Calibri" w:hAnsi="Calibri"/>
                <w:lang w:val="en-US"/>
              </w:rPr>
            </w:pPr>
          </w:p>
        </w:tc>
        <w:tc>
          <w:tcPr>
            <w:tcW w:w="900" w:type="dxa"/>
          </w:tcPr>
          <w:p w:rsidR="00F0630E" w:rsidRPr="00620367" w:rsidRDefault="00F0630E" w:rsidP="00CE3EED">
            <w:pPr>
              <w:jc w:val="both"/>
              <w:rPr>
                <w:rFonts w:ascii="Calibri" w:hAnsi="Calibri"/>
                <w:lang w:val="en-US"/>
              </w:rPr>
            </w:pPr>
          </w:p>
        </w:tc>
        <w:tc>
          <w:tcPr>
            <w:tcW w:w="1080" w:type="dxa"/>
          </w:tcPr>
          <w:p w:rsidR="00F0630E" w:rsidRPr="00620367" w:rsidRDefault="00F0630E" w:rsidP="00CE3EED">
            <w:pPr>
              <w:jc w:val="both"/>
              <w:rPr>
                <w:rFonts w:ascii="Calibri" w:hAnsi="Calibri"/>
                <w:lang w:val="en-US"/>
              </w:rPr>
            </w:pPr>
          </w:p>
        </w:tc>
        <w:tc>
          <w:tcPr>
            <w:tcW w:w="990" w:type="dxa"/>
          </w:tcPr>
          <w:p w:rsidR="00F0630E" w:rsidRPr="00620367" w:rsidRDefault="00F0630E" w:rsidP="00CE3EED">
            <w:pPr>
              <w:jc w:val="both"/>
              <w:rPr>
                <w:rFonts w:ascii="Calibri" w:hAnsi="Calibri"/>
                <w:lang w:val="en-US"/>
              </w:rPr>
            </w:pPr>
          </w:p>
        </w:tc>
        <w:tc>
          <w:tcPr>
            <w:tcW w:w="1080" w:type="dxa"/>
          </w:tcPr>
          <w:p w:rsidR="00F0630E" w:rsidRPr="00620367" w:rsidRDefault="00F0630E" w:rsidP="00CE3EED">
            <w:pPr>
              <w:jc w:val="both"/>
              <w:rPr>
                <w:rFonts w:ascii="Calibri" w:hAnsi="Calibri"/>
                <w:lang w:val="en-US"/>
              </w:rPr>
            </w:pPr>
          </w:p>
        </w:tc>
        <w:tc>
          <w:tcPr>
            <w:tcW w:w="1170" w:type="dxa"/>
          </w:tcPr>
          <w:p w:rsidR="00F0630E" w:rsidRPr="00620367" w:rsidRDefault="00F0630E" w:rsidP="00CE3EED">
            <w:pPr>
              <w:jc w:val="both"/>
              <w:rPr>
                <w:rFonts w:ascii="Calibri" w:hAnsi="Calibri"/>
                <w:lang w:val="en-US"/>
              </w:rPr>
            </w:pPr>
          </w:p>
        </w:tc>
        <w:tc>
          <w:tcPr>
            <w:tcW w:w="1124" w:type="dxa"/>
          </w:tcPr>
          <w:p w:rsidR="00F0630E" w:rsidRPr="00620367" w:rsidRDefault="00F0630E" w:rsidP="00CE3EED">
            <w:pPr>
              <w:jc w:val="both"/>
              <w:rPr>
                <w:rFonts w:ascii="Calibri" w:hAnsi="Calibri"/>
                <w:lang w:val="en-US"/>
              </w:rPr>
            </w:pPr>
          </w:p>
        </w:tc>
      </w:tr>
    </w:tbl>
    <w:p w:rsidR="00F0630E" w:rsidRPr="00620367" w:rsidRDefault="00F0630E" w:rsidP="00CE3EED">
      <w:pPr>
        <w:jc w:val="both"/>
        <w:rPr>
          <w:rFonts w:ascii="Calibri" w:hAnsi="Calibri"/>
          <w:b/>
          <w:lang w:val="en-US"/>
        </w:rPr>
      </w:pPr>
    </w:p>
    <w:p w:rsidR="00F0630E" w:rsidRPr="00620367" w:rsidRDefault="00957D41" w:rsidP="00CE3EED">
      <w:pPr>
        <w:jc w:val="both"/>
        <w:rPr>
          <w:rFonts w:ascii="Calibri" w:hAnsi="Calibri"/>
          <w:lang w:val="en-US"/>
        </w:rPr>
      </w:pPr>
      <w:r w:rsidRPr="00620367">
        <w:rPr>
          <w:rFonts w:ascii="Calibri" w:hAnsi="Calibri"/>
          <w:lang w:val="en-US"/>
        </w:rPr>
        <w:t>Number of pensioners: 123,</w:t>
      </w:r>
      <w:r w:rsidR="00F0630E" w:rsidRPr="00620367">
        <w:rPr>
          <w:rFonts w:ascii="Calibri" w:hAnsi="Calibri"/>
          <w:lang w:val="en-US"/>
        </w:rPr>
        <w:t>164</w:t>
      </w:r>
      <w:r w:rsidRPr="00620367">
        <w:rPr>
          <w:rFonts w:ascii="Calibri" w:hAnsi="Calibri"/>
          <w:lang w:val="en-US"/>
        </w:rPr>
        <w:tab/>
      </w:r>
      <w:r w:rsidRPr="00620367">
        <w:rPr>
          <w:rFonts w:ascii="Calibri" w:hAnsi="Calibri"/>
          <w:lang w:val="en-US"/>
        </w:rPr>
        <w:tab/>
        <w:t>Lowest pension –</w:t>
      </w:r>
      <w:r w:rsidR="00F0630E" w:rsidRPr="00620367">
        <w:rPr>
          <w:rFonts w:ascii="Calibri" w:hAnsi="Calibri"/>
          <w:lang w:val="en-US"/>
        </w:rPr>
        <w:t xml:space="preserve"> 121</w:t>
      </w:r>
      <w:r w:rsidRPr="00620367">
        <w:rPr>
          <w:rFonts w:ascii="Calibri" w:hAnsi="Calibri"/>
          <w:lang w:val="en-US"/>
        </w:rPr>
        <w:t xml:space="preserve"> </w:t>
      </w:r>
      <w:r w:rsidR="00F0630E" w:rsidRPr="00620367">
        <w:rPr>
          <w:rFonts w:ascii="Calibri" w:hAnsi="Calibri"/>
          <w:lang w:val="en-US"/>
        </w:rPr>
        <w:t xml:space="preserve">€, </w:t>
      </w:r>
      <w:r w:rsidRPr="00620367">
        <w:rPr>
          <w:rFonts w:ascii="Calibri" w:hAnsi="Calibri"/>
          <w:lang w:val="en-US"/>
        </w:rPr>
        <w:t>highest 1,107 €.</w:t>
      </w:r>
    </w:p>
    <w:p w:rsidR="00EF4666" w:rsidRPr="00620367" w:rsidRDefault="00957D41" w:rsidP="00CE3EED">
      <w:pPr>
        <w:jc w:val="both"/>
        <w:rPr>
          <w:rFonts w:ascii="Calibri" w:hAnsi="Calibri"/>
          <w:lang w:val="en-US"/>
        </w:rPr>
      </w:pPr>
      <w:r w:rsidRPr="00620367">
        <w:rPr>
          <w:rFonts w:ascii="Calibri" w:hAnsi="Calibri"/>
          <w:lang w:val="en-US"/>
        </w:rPr>
        <w:t>Ratio employee/pensioner: 1:1.</w:t>
      </w:r>
      <w:r w:rsidR="00F0630E" w:rsidRPr="00620367">
        <w:rPr>
          <w:rFonts w:ascii="Calibri" w:hAnsi="Calibri"/>
          <w:lang w:val="en-US"/>
        </w:rPr>
        <w:t>65.</w:t>
      </w:r>
    </w:p>
    <w:p w:rsidR="00F0630E" w:rsidRPr="00620367" w:rsidRDefault="0002259A" w:rsidP="00CE3EED">
      <w:pPr>
        <w:jc w:val="both"/>
        <w:rPr>
          <w:rFonts w:ascii="Calibri" w:hAnsi="Calibri"/>
          <w:lang w:val="en-US"/>
        </w:rPr>
      </w:pPr>
      <w:r w:rsidRPr="00620367">
        <w:rPr>
          <w:rFonts w:ascii="Calibri" w:hAnsi="Calibri"/>
          <w:lang w:val="en-US"/>
        </w:rPr>
        <w:t xml:space="preserve">GDP growth in </w:t>
      </w:r>
      <w:r w:rsidR="00D54561" w:rsidRPr="00620367">
        <w:rPr>
          <w:rFonts w:ascii="Calibri" w:hAnsi="Calibri"/>
          <w:lang w:val="en-US"/>
        </w:rPr>
        <w:t>2017</w:t>
      </w:r>
      <w:r w:rsidRPr="00620367">
        <w:rPr>
          <w:rFonts w:ascii="Calibri" w:hAnsi="Calibri"/>
          <w:lang w:val="en-US"/>
        </w:rPr>
        <w:t xml:space="preserve"> was mainly possible thanks to</w:t>
      </w:r>
      <w:r w:rsidR="00F0630E" w:rsidRPr="00620367">
        <w:rPr>
          <w:rFonts w:ascii="Calibri" w:hAnsi="Calibri"/>
          <w:lang w:val="en-US"/>
        </w:rPr>
        <w:t>:</w:t>
      </w:r>
    </w:p>
    <w:p w:rsidR="00F0630E" w:rsidRPr="00620367" w:rsidRDefault="00F0630E" w:rsidP="00CE3EED">
      <w:pPr>
        <w:pStyle w:val="ListParagraph"/>
        <w:numPr>
          <w:ilvl w:val="0"/>
          <w:numId w:val="1"/>
        </w:numPr>
        <w:jc w:val="both"/>
        <w:rPr>
          <w:rFonts w:ascii="Calibri" w:hAnsi="Calibri"/>
          <w:lang w:val="en-US"/>
        </w:rPr>
      </w:pPr>
      <w:r w:rsidRPr="00620367">
        <w:rPr>
          <w:rFonts w:ascii="Calibri" w:hAnsi="Calibri"/>
          <w:lang w:val="en-US"/>
        </w:rPr>
        <w:t>M</w:t>
      </w:r>
      <w:r w:rsidR="0002259A" w:rsidRPr="00620367">
        <w:rPr>
          <w:rFonts w:ascii="Calibri" w:hAnsi="Calibri"/>
          <w:lang w:val="en-US"/>
        </w:rPr>
        <w:t>easures of fiscal consolidation</w:t>
      </w:r>
    </w:p>
    <w:p w:rsidR="00F0630E" w:rsidRPr="00620367" w:rsidRDefault="0002259A" w:rsidP="00CE3EED">
      <w:pPr>
        <w:pStyle w:val="ListParagraph"/>
        <w:numPr>
          <w:ilvl w:val="0"/>
          <w:numId w:val="1"/>
        </w:numPr>
        <w:jc w:val="both"/>
        <w:rPr>
          <w:rFonts w:ascii="Calibri" w:hAnsi="Calibri"/>
          <w:lang w:val="en-US"/>
        </w:rPr>
      </w:pPr>
      <w:r w:rsidRPr="00620367">
        <w:rPr>
          <w:rFonts w:ascii="Calibri" w:hAnsi="Calibri"/>
          <w:lang w:val="en-US"/>
        </w:rPr>
        <w:t xml:space="preserve">Construction of road Bar – </w:t>
      </w:r>
      <w:proofErr w:type="spellStart"/>
      <w:r w:rsidRPr="00620367">
        <w:rPr>
          <w:rFonts w:ascii="Calibri" w:hAnsi="Calibri"/>
          <w:lang w:val="en-US"/>
        </w:rPr>
        <w:t>Boljare</w:t>
      </w:r>
      <w:proofErr w:type="spellEnd"/>
    </w:p>
    <w:p w:rsidR="00F0630E" w:rsidRPr="00620367" w:rsidRDefault="0002259A" w:rsidP="00CE3EED">
      <w:pPr>
        <w:pStyle w:val="ListParagraph"/>
        <w:numPr>
          <w:ilvl w:val="0"/>
          <w:numId w:val="1"/>
        </w:numPr>
        <w:jc w:val="both"/>
        <w:rPr>
          <w:rFonts w:ascii="Calibri" w:hAnsi="Calibri"/>
          <w:lang w:val="en-US"/>
        </w:rPr>
      </w:pPr>
      <w:r w:rsidRPr="00620367">
        <w:rPr>
          <w:rFonts w:ascii="Calibri" w:hAnsi="Calibri"/>
          <w:lang w:val="en-US"/>
        </w:rPr>
        <w:t xml:space="preserve">Growth in construction </w:t>
      </w:r>
      <w:r w:rsidR="00F0630E" w:rsidRPr="00620367">
        <w:rPr>
          <w:rFonts w:ascii="Calibri" w:hAnsi="Calibri"/>
          <w:lang w:val="en-US"/>
        </w:rPr>
        <w:t>(</w:t>
      </w:r>
      <w:r w:rsidRPr="00620367">
        <w:rPr>
          <w:rFonts w:ascii="Calibri" w:hAnsi="Calibri"/>
          <w:lang w:val="en-US"/>
        </w:rPr>
        <w:t>Jan-Jun, value of construction works is bigger by 45.</w:t>
      </w:r>
      <w:r w:rsidR="00F0630E" w:rsidRPr="00620367">
        <w:rPr>
          <w:rFonts w:ascii="Calibri" w:hAnsi="Calibri"/>
          <w:lang w:val="en-US"/>
        </w:rPr>
        <w:t xml:space="preserve">35% </w:t>
      </w:r>
      <w:r w:rsidRPr="00620367">
        <w:rPr>
          <w:rFonts w:ascii="Calibri" w:hAnsi="Calibri"/>
          <w:lang w:val="en-US"/>
        </w:rPr>
        <w:t xml:space="preserve">compared to the same period in </w:t>
      </w:r>
      <w:r w:rsidR="00F0630E" w:rsidRPr="00620367">
        <w:rPr>
          <w:rFonts w:ascii="Calibri" w:hAnsi="Calibri"/>
          <w:lang w:val="en-US"/>
        </w:rPr>
        <w:t>2016)</w:t>
      </w:r>
    </w:p>
    <w:p w:rsidR="00F0630E" w:rsidRPr="00620367" w:rsidRDefault="0002259A" w:rsidP="00CE3EED">
      <w:pPr>
        <w:pStyle w:val="ListParagraph"/>
        <w:numPr>
          <w:ilvl w:val="0"/>
          <w:numId w:val="1"/>
        </w:numPr>
        <w:jc w:val="both"/>
        <w:rPr>
          <w:rFonts w:ascii="Calibri" w:hAnsi="Calibri"/>
          <w:lang w:val="en-US"/>
        </w:rPr>
      </w:pPr>
      <w:r w:rsidRPr="00620367">
        <w:rPr>
          <w:rFonts w:ascii="Calibri" w:hAnsi="Calibri"/>
          <w:lang w:val="en-US"/>
        </w:rPr>
        <w:t xml:space="preserve">High growth in excavation of ore and stone </w:t>
      </w:r>
      <w:r w:rsidR="00F0630E" w:rsidRPr="00620367">
        <w:rPr>
          <w:rFonts w:ascii="Calibri" w:hAnsi="Calibri"/>
          <w:lang w:val="en-US"/>
        </w:rPr>
        <w:t>(</w:t>
      </w:r>
      <w:r w:rsidRPr="00620367">
        <w:rPr>
          <w:rFonts w:ascii="Calibri" w:hAnsi="Calibri"/>
          <w:lang w:val="en-US"/>
        </w:rPr>
        <w:t>growth of 124.</w:t>
      </w:r>
      <w:r w:rsidR="00F0630E" w:rsidRPr="00620367">
        <w:rPr>
          <w:rFonts w:ascii="Calibri" w:hAnsi="Calibri"/>
          <w:lang w:val="en-US"/>
        </w:rPr>
        <w:t>7%)</w:t>
      </w:r>
    </w:p>
    <w:p w:rsidR="00F0630E" w:rsidRPr="00620367" w:rsidRDefault="0002259A" w:rsidP="00CE3EED">
      <w:pPr>
        <w:pStyle w:val="ListParagraph"/>
        <w:numPr>
          <w:ilvl w:val="0"/>
          <w:numId w:val="1"/>
        </w:numPr>
        <w:jc w:val="both"/>
        <w:rPr>
          <w:rFonts w:ascii="Calibri" w:hAnsi="Calibri"/>
          <w:b/>
          <w:lang w:val="en-US"/>
        </w:rPr>
      </w:pPr>
      <w:r w:rsidRPr="00620367">
        <w:rPr>
          <w:rFonts w:ascii="Calibri" w:hAnsi="Calibri"/>
          <w:lang w:val="en-US"/>
        </w:rPr>
        <w:t xml:space="preserve">Growth of net influx of FDI </w:t>
      </w:r>
      <w:r w:rsidR="001B4F05" w:rsidRPr="00620367">
        <w:rPr>
          <w:rFonts w:ascii="Calibri" w:hAnsi="Calibri"/>
          <w:lang w:val="en-US"/>
        </w:rPr>
        <w:t>(</w:t>
      </w:r>
      <w:r w:rsidRPr="00620367">
        <w:rPr>
          <w:rFonts w:ascii="Calibri" w:hAnsi="Calibri"/>
          <w:lang w:val="en-US"/>
        </w:rPr>
        <w:t>Jan-Sept, net influx was 409.</w:t>
      </w:r>
      <w:r w:rsidR="001B4F05" w:rsidRPr="00620367">
        <w:rPr>
          <w:rFonts w:ascii="Calibri" w:hAnsi="Calibri"/>
          <w:lang w:val="en-US"/>
        </w:rPr>
        <w:t xml:space="preserve">8 </w:t>
      </w:r>
      <w:r w:rsidR="00F0630E" w:rsidRPr="00620367">
        <w:rPr>
          <w:rFonts w:ascii="Calibri" w:hAnsi="Calibri"/>
          <w:lang w:val="en-US"/>
        </w:rPr>
        <w:t>mil</w:t>
      </w:r>
      <w:r w:rsidRPr="00620367">
        <w:rPr>
          <w:rFonts w:ascii="Calibri" w:hAnsi="Calibri"/>
          <w:lang w:val="en-US"/>
        </w:rPr>
        <w:t>lion</w:t>
      </w:r>
      <w:r w:rsidR="00F0630E" w:rsidRPr="00620367">
        <w:rPr>
          <w:rFonts w:ascii="Calibri" w:hAnsi="Calibri"/>
          <w:lang w:val="en-US"/>
        </w:rPr>
        <w:t xml:space="preserve"> €)</w:t>
      </w:r>
      <w:r w:rsidRPr="00620367">
        <w:rPr>
          <w:rFonts w:ascii="Calibri" w:hAnsi="Calibri"/>
          <w:lang w:val="en-US"/>
        </w:rPr>
        <w:t>. WB Doing Business placed Montenegro on 42</w:t>
      </w:r>
      <w:r w:rsidR="00946193" w:rsidRPr="00620367">
        <w:rPr>
          <w:rFonts w:ascii="Calibri" w:hAnsi="Calibri"/>
          <w:vertAlign w:val="superscript"/>
          <w:lang w:val="en-US"/>
        </w:rPr>
        <w:t>nd</w:t>
      </w:r>
      <w:r w:rsidR="00946193" w:rsidRPr="00620367">
        <w:rPr>
          <w:rFonts w:ascii="Calibri" w:hAnsi="Calibri"/>
          <w:lang w:val="en-US"/>
        </w:rPr>
        <w:t xml:space="preserve"> </w:t>
      </w:r>
      <w:r w:rsidRPr="00620367">
        <w:rPr>
          <w:rFonts w:ascii="Calibri" w:hAnsi="Calibri"/>
          <w:lang w:val="en-US"/>
        </w:rPr>
        <w:t>place this year among 190 ranked countries; improvement by nine places compared to the last year</w:t>
      </w:r>
      <w:r w:rsidR="00F0630E" w:rsidRPr="00620367">
        <w:rPr>
          <w:rFonts w:ascii="Calibri" w:hAnsi="Calibri"/>
          <w:lang w:val="en-US"/>
        </w:rPr>
        <w:t>.</w:t>
      </w:r>
    </w:p>
    <w:p w:rsidR="00F0630E" w:rsidRPr="00620367" w:rsidRDefault="0002259A" w:rsidP="00CE3EED">
      <w:pPr>
        <w:pStyle w:val="ListParagraph"/>
        <w:numPr>
          <w:ilvl w:val="0"/>
          <w:numId w:val="1"/>
        </w:numPr>
        <w:jc w:val="both"/>
        <w:rPr>
          <w:rFonts w:ascii="Calibri" w:hAnsi="Calibri"/>
          <w:lang w:val="en-US"/>
        </w:rPr>
      </w:pPr>
      <w:r w:rsidRPr="00620367">
        <w:rPr>
          <w:rFonts w:ascii="Calibri" w:hAnsi="Calibri"/>
          <w:lang w:val="en-US"/>
        </w:rPr>
        <w:t xml:space="preserve">Increased performance efficiency of the competent authorities in charge of fight against grey economy </w:t>
      </w:r>
      <w:r w:rsidR="00F0630E" w:rsidRPr="00620367">
        <w:rPr>
          <w:rFonts w:ascii="Calibri" w:hAnsi="Calibri"/>
          <w:lang w:val="en-US"/>
        </w:rPr>
        <w:t>(</w:t>
      </w:r>
      <w:r w:rsidRPr="00620367">
        <w:rPr>
          <w:rFonts w:ascii="Calibri" w:hAnsi="Calibri"/>
          <w:lang w:val="en-US"/>
        </w:rPr>
        <w:t>Jan-Sept, collected tax 1.</w:t>
      </w:r>
      <w:r w:rsidR="00F0630E" w:rsidRPr="00620367">
        <w:rPr>
          <w:rFonts w:ascii="Calibri" w:hAnsi="Calibri"/>
          <w:lang w:val="en-US"/>
        </w:rPr>
        <w:t>3</w:t>
      </w:r>
      <w:r w:rsidRPr="00620367">
        <w:rPr>
          <w:rFonts w:ascii="Calibri" w:hAnsi="Calibri"/>
          <w:lang w:val="en-US"/>
        </w:rPr>
        <w:t xml:space="preserve"> </w:t>
      </w:r>
      <w:r w:rsidR="00F0630E" w:rsidRPr="00620367">
        <w:rPr>
          <w:rFonts w:ascii="Calibri" w:hAnsi="Calibri"/>
          <w:lang w:val="en-US"/>
        </w:rPr>
        <w:t>mil</w:t>
      </w:r>
      <w:r w:rsidRPr="00620367">
        <w:rPr>
          <w:rFonts w:ascii="Calibri" w:hAnsi="Calibri"/>
          <w:lang w:val="en-US"/>
        </w:rPr>
        <w:t xml:space="preserve">lion </w:t>
      </w:r>
      <w:r w:rsidR="00F0630E" w:rsidRPr="00620367">
        <w:rPr>
          <w:rFonts w:ascii="Calibri" w:hAnsi="Calibri"/>
          <w:lang w:val="en-US"/>
        </w:rPr>
        <w:t>€</w:t>
      </w:r>
      <w:r w:rsidRPr="00620367">
        <w:rPr>
          <w:rFonts w:ascii="Calibri" w:hAnsi="Calibri"/>
          <w:lang w:val="en-US"/>
        </w:rPr>
        <w:t>, which is 4.</w:t>
      </w:r>
      <w:r w:rsidR="00F0630E" w:rsidRPr="00620367">
        <w:rPr>
          <w:rFonts w:ascii="Calibri" w:hAnsi="Calibri"/>
          <w:lang w:val="en-US"/>
        </w:rPr>
        <w:t xml:space="preserve">2% </w:t>
      </w:r>
      <w:r w:rsidRPr="00620367">
        <w:rPr>
          <w:rFonts w:ascii="Calibri" w:hAnsi="Calibri"/>
          <w:lang w:val="en-US"/>
        </w:rPr>
        <w:t>more that in the same period last year</w:t>
      </w:r>
      <w:r w:rsidR="00F0630E" w:rsidRPr="00620367">
        <w:rPr>
          <w:rFonts w:ascii="Calibri" w:hAnsi="Calibri"/>
          <w:lang w:val="en-US"/>
        </w:rPr>
        <w:t>)</w:t>
      </w:r>
    </w:p>
    <w:p w:rsidR="00F0630E" w:rsidRPr="00620367" w:rsidRDefault="00E2538A" w:rsidP="00CE3EED">
      <w:pPr>
        <w:pStyle w:val="ListParagraph"/>
        <w:numPr>
          <w:ilvl w:val="0"/>
          <w:numId w:val="1"/>
        </w:numPr>
        <w:jc w:val="both"/>
        <w:rPr>
          <w:rFonts w:ascii="Calibri" w:hAnsi="Calibri"/>
          <w:lang w:val="en-US"/>
        </w:rPr>
      </w:pPr>
      <w:r w:rsidRPr="00620367">
        <w:rPr>
          <w:rFonts w:ascii="Calibri" w:hAnsi="Calibri"/>
          <w:lang w:val="en-US"/>
        </w:rPr>
        <w:t>Improved taxation discipline among the debtors</w:t>
      </w:r>
      <w:r w:rsidR="00F0630E" w:rsidRPr="00620367">
        <w:rPr>
          <w:rFonts w:ascii="Calibri" w:hAnsi="Calibri"/>
          <w:lang w:val="en-US"/>
        </w:rPr>
        <w:t xml:space="preserve"> (</w:t>
      </w:r>
      <w:r w:rsidRPr="00620367">
        <w:rPr>
          <w:rFonts w:ascii="Calibri" w:hAnsi="Calibri"/>
          <w:lang w:val="en-US"/>
        </w:rPr>
        <w:t>collected 19.</w:t>
      </w:r>
      <w:r w:rsidR="00F0630E" w:rsidRPr="00620367">
        <w:rPr>
          <w:rFonts w:ascii="Calibri" w:hAnsi="Calibri"/>
          <w:lang w:val="en-US"/>
        </w:rPr>
        <w:t>9 mil</w:t>
      </w:r>
      <w:r w:rsidRPr="00620367">
        <w:rPr>
          <w:rFonts w:ascii="Calibri" w:hAnsi="Calibri"/>
          <w:lang w:val="en-US"/>
        </w:rPr>
        <w:t xml:space="preserve">lion </w:t>
      </w:r>
      <w:r w:rsidR="00F0630E" w:rsidRPr="00620367">
        <w:rPr>
          <w:rFonts w:ascii="Calibri" w:hAnsi="Calibri"/>
          <w:lang w:val="en-US"/>
        </w:rPr>
        <w:t xml:space="preserve">€ </w:t>
      </w:r>
      <w:r w:rsidRPr="00620367">
        <w:rPr>
          <w:rFonts w:ascii="Calibri" w:hAnsi="Calibri"/>
          <w:lang w:val="en-US"/>
        </w:rPr>
        <w:t>by November, and additional 23 million are expected to be collected by the end of year</w:t>
      </w:r>
      <w:r w:rsidR="00F0630E" w:rsidRPr="00620367">
        <w:rPr>
          <w:rFonts w:ascii="Calibri" w:hAnsi="Calibri"/>
          <w:lang w:val="en-US"/>
        </w:rPr>
        <w:t>)</w:t>
      </w:r>
    </w:p>
    <w:p w:rsidR="00F0630E" w:rsidRPr="00620367" w:rsidRDefault="00E2538A" w:rsidP="00CE3EED">
      <w:pPr>
        <w:pStyle w:val="ListParagraph"/>
        <w:numPr>
          <w:ilvl w:val="0"/>
          <w:numId w:val="1"/>
        </w:numPr>
        <w:jc w:val="both"/>
        <w:rPr>
          <w:rFonts w:ascii="Calibri" w:hAnsi="Calibri"/>
          <w:lang w:val="en-US"/>
        </w:rPr>
      </w:pPr>
      <w:r w:rsidRPr="00620367">
        <w:rPr>
          <w:rFonts w:ascii="Calibri" w:hAnsi="Calibri"/>
          <w:lang w:val="en-US"/>
        </w:rPr>
        <w:t>Increased number of tourists (825,</w:t>
      </w:r>
      <w:r w:rsidR="00F0630E" w:rsidRPr="00620367">
        <w:rPr>
          <w:rFonts w:ascii="Calibri" w:hAnsi="Calibri"/>
          <w:lang w:val="en-US"/>
        </w:rPr>
        <w:t xml:space="preserve">000, </w:t>
      </w:r>
      <w:r w:rsidRPr="00620367">
        <w:rPr>
          <w:rFonts w:ascii="Calibri" w:hAnsi="Calibri"/>
          <w:lang w:val="en-US"/>
        </w:rPr>
        <w:t>growth of 16.</w:t>
      </w:r>
      <w:r w:rsidR="00F0630E" w:rsidRPr="00620367">
        <w:rPr>
          <w:rFonts w:ascii="Calibri" w:hAnsi="Calibri"/>
          <w:lang w:val="en-US"/>
        </w:rPr>
        <w:t>8%)</w:t>
      </w:r>
    </w:p>
    <w:p w:rsidR="00F0630E" w:rsidRPr="00620367" w:rsidRDefault="00E2538A" w:rsidP="00CE3EED">
      <w:pPr>
        <w:pStyle w:val="ListParagraph"/>
        <w:numPr>
          <w:ilvl w:val="0"/>
          <w:numId w:val="1"/>
        </w:numPr>
        <w:jc w:val="both"/>
        <w:rPr>
          <w:rFonts w:ascii="Calibri" w:hAnsi="Calibri"/>
          <w:lang w:val="en-US"/>
        </w:rPr>
      </w:pPr>
      <w:r w:rsidRPr="00620367">
        <w:rPr>
          <w:rFonts w:ascii="Calibri" w:hAnsi="Calibri"/>
          <w:lang w:val="en-US"/>
        </w:rPr>
        <w:t xml:space="preserve">Growth in transport of passengers at the airports </w:t>
      </w:r>
      <w:r w:rsidR="00F0630E" w:rsidRPr="00620367">
        <w:rPr>
          <w:rFonts w:ascii="Calibri" w:hAnsi="Calibri"/>
          <w:lang w:val="en-US"/>
        </w:rPr>
        <w:t>(</w:t>
      </w:r>
      <w:r w:rsidRPr="00620367">
        <w:rPr>
          <w:rFonts w:ascii="Calibri" w:hAnsi="Calibri"/>
          <w:lang w:val="en-US"/>
        </w:rPr>
        <w:t xml:space="preserve">Jan-Sept, </w:t>
      </w:r>
      <w:r w:rsidR="00F0630E" w:rsidRPr="00620367">
        <w:rPr>
          <w:rFonts w:ascii="Calibri" w:hAnsi="Calibri"/>
          <w:lang w:val="en-US"/>
        </w:rPr>
        <w:t>+17%)</w:t>
      </w:r>
    </w:p>
    <w:p w:rsidR="00F0630E" w:rsidRPr="00620367" w:rsidRDefault="00E2538A" w:rsidP="00CE3EED">
      <w:pPr>
        <w:pStyle w:val="ListParagraph"/>
        <w:numPr>
          <w:ilvl w:val="0"/>
          <w:numId w:val="1"/>
        </w:numPr>
        <w:jc w:val="both"/>
        <w:rPr>
          <w:rFonts w:ascii="Calibri" w:hAnsi="Calibri"/>
          <w:lang w:val="en-US"/>
        </w:rPr>
      </w:pPr>
      <w:r w:rsidRPr="00620367">
        <w:rPr>
          <w:rFonts w:ascii="Calibri" w:hAnsi="Calibri"/>
          <w:lang w:val="en-US"/>
        </w:rPr>
        <w:t>Increased transport of goods by railways</w:t>
      </w:r>
    </w:p>
    <w:p w:rsidR="00F0630E" w:rsidRPr="00620367" w:rsidRDefault="00E2538A" w:rsidP="00CE3EED">
      <w:pPr>
        <w:pStyle w:val="ListParagraph"/>
        <w:numPr>
          <w:ilvl w:val="0"/>
          <w:numId w:val="1"/>
        </w:numPr>
        <w:jc w:val="both"/>
        <w:rPr>
          <w:rFonts w:ascii="Calibri" w:hAnsi="Calibri"/>
          <w:lang w:val="en-US"/>
        </w:rPr>
      </w:pPr>
      <w:r w:rsidRPr="00620367">
        <w:rPr>
          <w:rFonts w:ascii="Calibri" w:hAnsi="Calibri"/>
          <w:lang w:val="en-US"/>
        </w:rPr>
        <w:t>Bigger reloading of goods in ports</w:t>
      </w:r>
    </w:p>
    <w:p w:rsidR="00F0630E" w:rsidRPr="00620367" w:rsidRDefault="00E2538A" w:rsidP="00CE3EED">
      <w:pPr>
        <w:pStyle w:val="ListParagraph"/>
        <w:numPr>
          <w:ilvl w:val="0"/>
          <w:numId w:val="1"/>
        </w:numPr>
        <w:jc w:val="both"/>
        <w:rPr>
          <w:rFonts w:ascii="Calibri" w:hAnsi="Calibri"/>
          <w:lang w:val="en-US"/>
        </w:rPr>
      </w:pPr>
      <w:r w:rsidRPr="00620367">
        <w:rPr>
          <w:rFonts w:ascii="Calibri" w:hAnsi="Calibri"/>
          <w:lang w:val="en-US"/>
        </w:rPr>
        <w:lastRenderedPageBreak/>
        <w:t xml:space="preserve">Increased </w:t>
      </w:r>
      <w:r w:rsidR="00F504A2" w:rsidRPr="00620367">
        <w:rPr>
          <w:rFonts w:ascii="Calibri" w:hAnsi="Calibri"/>
          <w:lang w:val="en-US"/>
        </w:rPr>
        <w:t xml:space="preserve">export </w:t>
      </w:r>
      <w:r w:rsidRPr="00620367">
        <w:rPr>
          <w:rFonts w:ascii="Calibri" w:hAnsi="Calibri"/>
          <w:lang w:val="en-US"/>
        </w:rPr>
        <w:t xml:space="preserve">of goods </w:t>
      </w:r>
      <w:r w:rsidR="00F0630E" w:rsidRPr="00620367">
        <w:rPr>
          <w:rFonts w:ascii="Calibri" w:hAnsi="Calibri"/>
          <w:lang w:val="en-US"/>
        </w:rPr>
        <w:t>(</w:t>
      </w:r>
      <w:r w:rsidRPr="00620367">
        <w:rPr>
          <w:rFonts w:ascii="Calibri" w:hAnsi="Calibri"/>
          <w:lang w:val="en-US"/>
        </w:rPr>
        <w:t>Jan-Sept</w:t>
      </w:r>
      <w:r w:rsidR="00F504A2" w:rsidRPr="00620367">
        <w:rPr>
          <w:rFonts w:ascii="Calibri" w:hAnsi="Calibri"/>
          <w:lang w:val="en-US"/>
        </w:rPr>
        <w:t>, +17.</w:t>
      </w:r>
      <w:r w:rsidR="00F0630E" w:rsidRPr="00620367">
        <w:rPr>
          <w:rFonts w:ascii="Calibri" w:hAnsi="Calibri"/>
          <w:lang w:val="en-US"/>
        </w:rPr>
        <w:t>8</w:t>
      </w:r>
      <w:r w:rsidR="00F504A2" w:rsidRPr="00620367">
        <w:rPr>
          <w:rFonts w:ascii="Calibri" w:hAnsi="Calibri"/>
          <w:lang w:val="en-US"/>
        </w:rPr>
        <w:t>, while the import was bigger by 8.</w:t>
      </w:r>
      <w:r w:rsidR="00F0630E" w:rsidRPr="00620367">
        <w:rPr>
          <w:rFonts w:ascii="Calibri" w:hAnsi="Calibri"/>
          <w:lang w:val="en-US"/>
        </w:rPr>
        <w:t>2%)</w:t>
      </w:r>
    </w:p>
    <w:p w:rsidR="00F0630E" w:rsidRPr="00620367" w:rsidRDefault="00F504A2" w:rsidP="00CE3EED">
      <w:pPr>
        <w:pStyle w:val="ListParagraph"/>
        <w:numPr>
          <w:ilvl w:val="0"/>
          <w:numId w:val="1"/>
        </w:numPr>
        <w:jc w:val="both"/>
        <w:rPr>
          <w:rFonts w:ascii="Calibri" w:hAnsi="Calibri"/>
          <w:lang w:val="en-US"/>
        </w:rPr>
      </w:pPr>
      <w:r w:rsidRPr="00620367">
        <w:rPr>
          <w:rFonts w:ascii="Calibri" w:hAnsi="Calibri"/>
          <w:lang w:val="en-US"/>
        </w:rPr>
        <w:t xml:space="preserve">Slightly improved ration import-export </w:t>
      </w:r>
      <w:r w:rsidR="00F0630E" w:rsidRPr="00620367">
        <w:rPr>
          <w:rFonts w:ascii="Calibri" w:hAnsi="Calibri"/>
          <w:lang w:val="en-US"/>
        </w:rPr>
        <w:t>(</w:t>
      </w:r>
      <w:r w:rsidRPr="00620367">
        <w:rPr>
          <w:rFonts w:ascii="Calibri" w:hAnsi="Calibri"/>
          <w:lang w:val="en-US"/>
        </w:rPr>
        <w:t>Jan-Sept, 16.2%</w:t>
      </w:r>
      <w:r w:rsidR="00F0630E" w:rsidRPr="00620367">
        <w:rPr>
          <w:rFonts w:ascii="Calibri" w:hAnsi="Calibri"/>
          <w:lang w:val="en-US"/>
        </w:rPr>
        <w:t>)</w:t>
      </w:r>
    </w:p>
    <w:p w:rsidR="00F0630E" w:rsidRPr="00620367" w:rsidRDefault="00F504A2" w:rsidP="00CE3EED">
      <w:pPr>
        <w:jc w:val="both"/>
        <w:rPr>
          <w:rFonts w:ascii="Calibri" w:hAnsi="Calibri"/>
          <w:lang w:val="en-US"/>
        </w:rPr>
      </w:pPr>
      <w:r w:rsidRPr="00620367">
        <w:rPr>
          <w:rFonts w:ascii="Calibri" w:hAnsi="Calibri"/>
          <w:lang w:val="en-US"/>
        </w:rPr>
        <w:t>However, adequate solutions have not yet been found for a more significant reduction of unemployment and increase in competition for the Montenegrin products</w:t>
      </w:r>
      <w:r w:rsidR="00F0630E" w:rsidRPr="00620367">
        <w:rPr>
          <w:rFonts w:ascii="Calibri" w:hAnsi="Calibri"/>
          <w:lang w:val="en-US"/>
        </w:rPr>
        <w:t xml:space="preserve">, </w:t>
      </w:r>
      <w:r w:rsidRPr="00620367">
        <w:rPr>
          <w:rFonts w:ascii="Calibri" w:hAnsi="Calibri"/>
          <w:lang w:val="en-US"/>
        </w:rPr>
        <w:t>which would result in bigger export and decrease in foreign trade deficit</w:t>
      </w:r>
      <w:r w:rsidR="00F0630E" w:rsidRPr="00620367">
        <w:rPr>
          <w:rFonts w:ascii="Calibri" w:hAnsi="Calibri"/>
          <w:lang w:val="en-US"/>
        </w:rPr>
        <w:t>.</w:t>
      </w:r>
    </w:p>
    <w:p w:rsidR="00F0630E" w:rsidRPr="00620367" w:rsidRDefault="004B0D9C" w:rsidP="00CE3EED">
      <w:pPr>
        <w:jc w:val="both"/>
        <w:rPr>
          <w:rFonts w:ascii="Calibri" w:hAnsi="Calibri"/>
          <w:b/>
          <w:lang w:val="en-US"/>
        </w:rPr>
      </w:pPr>
      <w:r w:rsidRPr="00620367">
        <w:rPr>
          <w:rFonts w:ascii="Calibri" w:hAnsi="Calibri"/>
          <w:b/>
          <w:lang w:val="en-US"/>
        </w:rPr>
        <w:t>Labor market and social development</w:t>
      </w:r>
    </w:p>
    <w:p w:rsidR="00F0630E" w:rsidRPr="00620367" w:rsidRDefault="004B0D9C" w:rsidP="00CE3EED">
      <w:pPr>
        <w:jc w:val="both"/>
        <w:rPr>
          <w:rFonts w:ascii="Calibri" w:hAnsi="Calibri"/>
          <w:lang w:val="en-US"/>
        </w:rPr>
      </w:pPr>
      <w:r w:rsidRPr="00620367">
        <w:rPr>
          <w:rFonts w:ascii="Calibri" w:hAnsi="Calibri"/>
          <w:lang w:val="en-US"/>
        </w:rPr>
        <w:t>Labor market in Montenegro suggests that of 269.</w:t>
      </w:r>
      <w:r w:rsidR="00F0630E" w:rsidRPr="00620367">
        <w:rPr>
          <w:rFonts w:ascii="Calibri" w:hAnsi="Calibri"/>
          <w:lang w:val="en-US"/>
        </w:rPr>
        <w:t xml:space="preserve">7 </w:t>
      </w:r>
      <w:r w:rsidRPr="00620367">
        <w:rPr>
          <w:rFonts w:ascii="Calibri" w:hAnsi="Calibri"/>
          <w:lang w:val="en-US"/>
        </w:rPr>
        <w:t xml:space="preserve">thousand of active working individuals </w:t>
      </w:r>
      <w:r w:rsidR="00F0630E" w:rsidRPr="00620367">
        <w:rPr>
          <w:rFonts w:ascii="Calibri" w:hAnsi="Calibri"/>
          <w:lang w:val="en-US"/>
        </w:rPr>
        <w:t>(</w:t>
      </w:r>
      <w:r w:rsidRPr="00620367">
        <w:rPr>
          <w:rFonts w:ascii="Calibri" w:hAnsi="Calibri"/>
          <w:lang w:val="en-US"/>
        </w:rPr>
        <w:t>according to the Survey on labor force</w:t>
      </w:r>
      <w:r w:rsidR="00F0630E" w:rsidRPr="00620367">
        <w:rPr>
          <w:rFonts w:ascii="Calibri" w:hAnsi="Calibri"/>
          <w:lang w:val="en-US"/>
        </w:rPr>
        <w:t xml:space="preserve">) </w:t>
      </w:r>
      <w:r w:rsidRPr="00620367">
        <w:rPr>
          <w:rFonts w:ascii="Calibri" w:hAnsi="Calibri"/>
          <w:lang w:val="en-US"/>
        </w:rPr>
        <w:t>there are 222.</w:t>
      </w:r>
      <w:r w:rsidR="00F0630E" w:rsidRPr="00620367">
        <w:rPr>
          <w:rFonts w:ascii="Calibri" w:hAnsi="Calibri"/>
          <w:lang w:val="en-US"/>
        </w:rPr>
        <w:t xml:space="preserve">7 </w:t>
      </w:r>
      <w:r w:rsidRPr="00620367">
        <w:rPr>
          <w:rFonts w:ascii="Calibri" w:hAnsi="Calibri"/>
          <w:lang w:val="en-US"/>
        </w:rPr>
        <w:t>thousand (82.</w:t>
      </w:r>
      <w:r w:rsidR="00F0630E" w:rsidRPr="00620367">
        <w:rPr>
          <w:rFonts w:ascii="Calibri" w:hAnsi="Calibri"/>
          <w:lang w:val="en-US"/>
        </w:rPr>
        <w:t xml:space="preserve">6%) </w:t>
      </w:r>
      <w:r w:rsidRPr="00620367">
        <w:rPr>
          <w:rFonts w:ascii="Calibri" w:hAnsi="Calibri"/>
          <w:lang w:val="en-US"/>
        </w:rPr>
        <w:t>employees</w:t>
      </w:r>
      <w:r w:rsidR="00F0630E" w:rsidRPr="00620367">
        <w:rPr>
          <w:rFonts w:ascii="Calibri" w:hAnsi="Calibri"/>
          <w:lang w:val="en-US"/>
        </w:rPr>
        <w:t xml:space="preserve">. </w:t>
      </w:r>
      <w:r w:rsidRPr="00620367">
        <w:rPr>
          <w:rFonts w:ascii="Calibri" w:hAnsi="Calibri"/>
          <w:lang w:val="en-US"/>
        </w:rPr>
        <w:t>Unemployment rate is 17.4%</w:t>
      </w:r>
      <w:r w:rsidR="00F0630E" w:rsidRPr="00620367">
        <w:rPr>
          <w:rFonts w:ascii="Calibri" w:hAnsi="Calibri"/>
          <w:lang w:val="en-US"/>
        </w:rPr>
        <w:t xml:space="preserve"> </w:t>
      </w:r>
      <w:r w:rsidRPr="00620367">
        <w:rPr>
          <w:rFonts w:ascii="Calibri" w:hAnsi="Calibri"/>
          <w:lang w:val="en-US"/>
        </w:rPr>
        <w:t>according to the same source</w:t>
      </w:r>
      <w:r w:rsidR="00F0630E" w:rsidRPr="00620367">
        <w:rPr>
          <w:rFonts w:ascii="Calibri" w:hAnsi="Calibri"/>
          <w:lang w:val="en-US"/>
        </w:rPr>
        <w:t>.</w:t>
      </w:r>
    </w:p>
    <w:p w:rsidR="00F0630E" w:rsidRPr="00620367" w:rsidRDefault="004B0D9C" w:rsidP="00CE3EED">
      <w:pPr>
        <w:jc w:val="both"/>
        <w:rPr>
          <w:rFonts w:ascii="Calibri" w:hAnsi="Calibri"/>
          <w:lang w:val="en-US"/>
        </w:rPr>
      </w:pPr>
      <w:r w:rsidRPr="00620367">
        <w:rPr>
          <w:rFonts w:ascii="Calibri" w:hAnsi="Calibri"/>
          <w:lang w:val="en-US"/>
        </w:rPr>
        <w:t xml:space="preserve">According to administrative records, number of employees in </w:t>
      </w:r>
      <w:r w:rsidR="00F0630E" w:rsidRPr="00620367">
        <w:rPr>
          <w:rFonts w:ascii="Calibri" w:hAnsi="Calibri"/>
          <w:lang w:val="en-US"/>
        </w:rPr>
        <w:t>2016</w:t>
      </w:r>
      <w:r w:rsidRPr="00620367">
        <w:rPr>
          <w:rFonts w:ascii="Calibri" w:hAnsi="Calibri"/>
          <w:lang w:val="en-US"/>
        </w:rPr>
        <w:t xml:space="preserve"> was 177,</w:t>
      </w:r>
      <w:r w:rsidR="00F0630E" w:rsidRPr="00620367">
        <w:rPr>
          <w:rFonts w:ascii="Calibri" w:hAnsi="Calibri"/>
          <w:lang w:val="en-US"/>
        </w:rPr>
        <w:t>908</w:t>
      </w:r>
      <w:r w:rsidRPr="00620367">
        <w:rPr>
          <w:rFonts w:ascii="Calibri" w:hAnsi="Calibri"/>
          <w:lang w:val="en-US"/>
        </w:rPr>
        <w:t>; unemployed around 48.</w:t>
      </w:r>
      <w:r w:rsidR="00F0630E" w:rsidRPr="00620367">
        <w:rPr>
          <w:rFonts w:ascii="Calibri" w:hAnsi="Calibri"/>
          <w:lang w:val="en-US"/>
        </w:rPr>
        <w:t>000</w:t>
      </w:r>
      <w:r w:rsidRPr="00620367">
        <w:rPr>
          <w:rFonts w:ascii="Calibri" w:hAnsi="Calibri"/>
          <w:lang w:val="en-US"/>
        </w:rPr>
        <w:t>; beneficiaries of social benefits 30,</w:t>
      </w:r>
      <w:r w:rsidR="00F0630E" w:rsidRPr="00620367">
        <w:rPr>
          <w:rFonts w:ascii="Calibri" w:hAnsi="Calibri"/>
          <w:lang w:val="en-US"/>
        </w:rPr>
        <w:t>000</w:t>
      </w:r>
      <w:r w:rsidR="00B72F1C" w:rsidRPr="00620367">
        <w:rPr>
          <w:rFonts w:ascii="Calibri" w:hAnsi="Calibri"/>
          <w:lang w:val="en-US"/>
        </w:rPr>
        <w:t>,</w:t>
      </w:r>
      <w:r w:rsidRPr="00620367">
        <w:rPr>
          <w:rFonts w:ascii="Calibri" w:hAnsi="Calibri"/>
          <w:lang w:val="en-US"/>
        </w:rPr>
        <w:t xml:space="preserve"> while the unofficial figure says that there are 40,</w:t>
      </w:r>
      <w:r w:rsidR="00F0630E" w:rsidRPr="00620367">
        <w:rPr>
          <w:rFonts w:ascii="Calibri" w:hAnsi="Calibri"/>
          <w:lang w:val="en-US"/>
        </w:rPr>
        <w:t>000</w:t>
      </w:r>
      <w:r w:rsidRPr="00620367">
        <w:rPr>
          <w:rFonts w:ascii="Calibri" w:hAnsi="Calibri"/>
          <w:lang w:val="en-US"/>
        </w:rPr>
        <w:t xml:space="preserve"> employed in informal economy</w:t>
      </w:r>
      <w:r w:rsidR="00F0630E" w:rsidRPr="00620367">
        <w:rPr>
          <w:rFonts w:ascii="Calibri" w:hAnsi="Calibri"/>
          <w:lang w:val="en-US"/>
        </w:rPr>
        <w:t xml:space="preserve">. </w:t>
      </w:r>
      <w:r w:rsidRPr="00620367">
        <w:rPr>
          <w:rFonts w:ascii="Calibri" w:hAnsi="Calibri"/>
          <w:lang w:val="en-US"/>
        </w:rPr>
        <w:t xml:space="preserve">Unemployment </w:t>
      </w:r>
      <w:r w:rsidR="004A7B41" w:rsidRPr="00620367">
        <w:rPr>
          <w:rFonts w:ascii="Calibri" w:hAnsi="Calibri"/>
          <w:lang w:val="en-US"/>
        </w:rPr>
        <w:t xml:space="preserve">rate </w:t>
      </w:r>
      <w:r w:rsidR="00F0630E" w:rsidRPr="00620367">
        <w:rPr>
          <w:rFonts w:ascii="Calibri" w:hAnsi="Calibri"/>
          <w:lang w:val="en-US"/>
        </w:rPr>
        <w:t>(</w:t>
      </w:r>
      <w:r w:rsidR="004A7B41" w:rsidRPr="00620367">
        <w:rPr>
          <w:rFonts w:ascii="Calibri" w:hAnsi="Calibri"/>
          <w:lang w:val="en-US"/>
        </w:rPr>
        <w:t>according to the Employment Bureau</w:t>
      </w:r>
      <w:r w:rsidR="00F0630E" w:rsidRPr="00620367">
        <w:rPr>
          <w:rFonts w:ascii="Calibri" w:hAnsi="Calibri"/>
          <w:lang w:val="en-US"/>
        </w:rPr>
        <w:t xml:space="preserve">) </w:t>
      </w:r>
      <w:r w:rsidR="004A7B41" w:rsidRPr="00620367">
        <w:rPr>
          <w:rFonts w:ascii="Calibri" w:hAnsi="Calibri"/>
          <w:lang w:val="en-US"/>
        </w:rPr>
        <w:t>is 22.9%</w:t>
      </w:r>
      <w:r w:rsidR="00F0630E" w:rsidRPr="00620367">
        <w:rPr>
          <w:rFonts w:ascii="Calibri" w:hAnsi="Calibri"/>
          <w:lang w:val="en-US"/>
        </w:rPr>
        <w:t xml:space="preserve">, </w:t>
      </w:r>
      <w:r w:rsidR="004A7B41" w:rsidRPr="00620367">
        <w:rPr>
          <w:rFonts w:ascii="Calibri" w:hAnsi="Calibri"/>
          <w:lang w:val="en-US"/>
        </w:rPr>
        <w:t xml:space="preserve">of which there are </w:t>
      </w:r>
      <w:r w:rsidR="00F0630E" w:rsidRPr="00620367">
        <w:rPr>
          <w:rFonts w:ascii="Calibri" w:hAnsi="Calibri"/>
          <w:lang w:val="en-US"/>
        </w:rPr>
        <w:t>27</w:t>
      </w:r>
      <w:r w:rsidR="004A7B41" w:rsidRPr="00620367">
        <w:rPr>
          <w:rFonts w:ascii="Calibri" w:hAnsi="Calibri"/>
          <w:lang w:val="en-US"/>
        </w:rPr>
        <w:t>,</w:t>
      </w:r>
      <w:r w:rsidR="00F0630E" w:rsidRPr="00620367">
        <w:rPr>
          <w:rFonts w:ascii="Calibri" w:hAnsi="Calibri"/>
          <w:lang w:val="en-US"/>
        </w:rPr>
        <w:t xml:space="preserve">889 </w:t>
      </w:r>
      <w:r w:rsidR="004A7B41" w:rsidRPr="00620367">
        <w:rPr>
          <w:rFonts w:ascii="Calibri" w:hAnsi="Calibri"/>
          <w:lang w:val="en-US"/>
        </w:rPr>
        <w:t>women or 56.</w:t>
      </w:r>
      <w:r w:rsidR="00F0630E" w:rsidRPr="00620367">
        <w:rPr>
          <w:rFonts w:ascii="Calibri" w:hAnsi="Calibri"/>
          <w:lang w:val="en-US"/>
        </w:rPr>
        <w:t xml:space="preserve">93%. </w:t>
      </w:r>
      <w:r w:rsidR="004A7B41" w:rsidRPr="00620367">
        <w:rPr>
          <w:rFonts w:ascii="Calibri" w:hAnsi="Calibri"/>
          <w:lang w:val="en-US"/>
        </w:rPr>
        <w:t xml:space="preserve">Around </w:t>
      </w:r>
      <w:r w:rsidR="00F0630E" w:rsidRPr="00620367">
        <w:rPr>
          <w:rFonts w:ascii="Calibri" w:hAnsi="Calibri"/>
          <w:lang w:val="en-US"/>
        </w:rPr>
        <w:t xml:space="preserve">50% </w:t>
      </w:r>
      <w:r w:rsidR="004A7B41" w:rsidRPr="00620367">
        <w:rPr>
          <w:rFonts w:ascii="Calibri" w:hAnsi="Calibri"/>
          <w:lang w:val="en-US"/>
        </w:rPr>
        <w:t xml:space="preserve">employees receive a wage of around </w:t>
      </w:r>
      <w:r w:rsidR="00F0630E" w:rsidRPr="00620367">
        <w:rPr>
          <w:rFonts w:ascii="Calibri" w:hAnsi="Calibri"/>
          <w:lang w:val="en-US"/>
        </w:rPr>
        <w:t>250 eur</w:t>
      </w:r>
      <w:r w:rsidR="004A7B41" w:rsidRPr="00620367">
        <w:rPr>
          <w:rFonts w:ascii="Calibri" w:hAnsi="Calibri"/>
          <w:lang w:val="en-US"/>
        </w:rPr>
        <w:t>o or less</w:t>
      </w:r>
      <w:r w:rsidR="00F0630E" w:rsidRPr="00620367">
        <w:rPr>
          <w:rFonts w:ascii="Calibri" w:hAnsi="Calibri"/>
          <w:lang w:val="en-US"/>
        </w:rPr>
        <w:t xml:space="preserve">, </w:t>
      </w:r>
      <w:r w:rsidR="004A7B41" w:rsidRPr="00620367">
        <w:rPr>
          <w:rFonts w:ascii="Calibri" w:hAnsi="Calibri"/>
          <w:lang w:val="en-US"/>
        </w:rPr>
        <w:t xml:space="preserve">while around </w:t>
      </w:r>
      <w:r w:rsidR="00F0630E" w:rsidRPr="00620367">
        <w:rPr>
          <w:rFonts w:ascii="Calibri" w:hAnsi="Calibri"/>
          <w:lang w:val="en-US"/>
        </w:rPr>
        <w:t>8</w:t>
      </w:r>
      <w:r w:rsidR="004A7B41" w:rsidRPr="00620367">
        <w:rPr>
          <w:rFonts w:ascii="Calibri" w:hAnsi="Calibri"/>
          <w:lang w:val="en-US"/>
        </w:rPr>
        <w:t>,</w:t>
      </w:r>
      <w:r w:rsidR="00F0630E" w:rsidRPr="00620367">
        <w:rPr>
          <w:rFonts w:ascii="Calibri" w:hAnsi="Calibri"/>
          <w:lang w:val="en-US"/>
        </w:rPr>
        <w:t>000 pen</w:t>
      </w:r>
      <w:r w:rsidR="004A7B41" w:rsidRPr="00620367">
        <w:rPr>
          <w:rFonts w:ascii="Calibri" w:hAnsi="Calibri"/>
          <w:lang w:val="en-US"/>
        </w:rPr>
        <w:t>sioners receive around 120 euro</w:t>
      </w:r>
      <w:r w:rsidR="00F0630E" w:rsidRPr="00620367">
        <w:rPr>
          <w:rFonts w:ascii="Calibri" w:hAnsi="Calibri"/>
          <w:lang w:val="en-US"/>
        </w:rPr>
        <w:t xml:space="preserve">. </w:t>
      </w:r>
      <w:r w:rsidR="004A7B41" w:rsidRPr="00620367">
        <w:rPr>
          <w:rFonts w:ascii="Calibri" w:hAnsi="Calibri"/>
          <w:lang w:val="en-US"/>
        </w:rPr>
        <w:t>Average income without tax and contribution is around 500 euro.</w:t>
      </w:r>
    </w:p>
    <w:p w:rsidR="00F0630E" w:rsidRPr="00620367" w:rsidRDefault="00ED4C57" w:rsidP="00CE3EED">
      <w:pPr>
        <w:jc w:val="both"/>
        <w:rPr>
          <w:rFonts w:ascii="Calibri" w:hAnsi="Calibri"/>
          <w:lang w:val="en-US"/>
        </w:rPr>
      </w:pPr>
      <w:r w:rsidRPr="00620367">
        <w:rPr>
          <w:rFonts w:ascii="Calibri" w:hAnsi="Calibri"/>
          <w:color w:val="281E1E"/>
          <w:shd w:val="clear" w:color="auto" w:fill="FFFFFF"/>
          <w:lang w:val="en-US"/>
        </w:rPr>
        <w:t xml:space="preserve">Data from the Employment Bureau for the period January – August 2017 showed that the number of registered employees is bigger by </w:t>
      </w:r>
      <w:r w:rsidR="00F0630E" w:rsidRPr="00620367">
        <w:rPr>
          <w:rFonts w:ascii="Calibri" w:hAnsi="Calibri"/>
          <w:color w:val="281E1E"/>
          <w:shd w:val="clear" w:color="auto" w:fill="FFFFFF"/>
          <w:lang w:val="en-US"/>
        </w:rPr>
        <w:t>3</w:t>
      </w:r>
      <w:r w:rsidRPr="00620367">
        <w:rPr>
          <w:rFonts w:ascii="Calibri" w:hAnsi="Calibri"/>
          <w:color w:val="281E1E"/>
          <w:shd w:val="clear" w:color="auto" w:fill="FFFFFF"/>
          <w:lang w:val="en-US"/>
        </w:rPr>
        <w:t>.</w:t>
      </w:r>
      <w:r w:rsidR="00F0630E" w:rsidRPr="00620367">
        <w:rPr>
          <w:rFonts w:ascii="Calibri" w:hAnsi="Calibri"/>
          <w:color w:val="281E1E"/>
          <w:shd w:val="clear" w:color="auto" w:fill="FFFFFF"/>
          <w:lang w:val="en-US"/>
        </w:rPr>
        <w:t>6</w:t>
      </w:r>
      <w:r w:rsidRPr="00620367">
        <w:rPr>
          <w:rFonts w:ascii="Calibri" w:hAnsi="Calibri"/>
          <w:color w:val="281E1E"/>
          <w:shd w:val="clear" w:color="auto" w:fill="FFFFFF"/>
          <w:lang w:val="en-US"/>
        </w:rPr>
        <w:t xml:space="preserve">% or </w:t>
      </w:r>
      <w:r w:rsidR="00F0630E" w:rsidRPr="00620367">
        <w:rPr>
          <w:rFonts w:ascii="Calibri" w:hAnsi="Calibri"/>
          <w:color w:val="281E1E"/>
          <w:shd w:val="clear" w:color="auto" w:fill="FFFFFF"/>
          <w:lang w:val="en-US"/>
        </w:rPr>
        <w:t>6</w:t>
      </w:r>
      <w:r w:rsidRPr="00620367">
        <w:rPr>
          <w:rFonts w:ascii="Calibri" w:hAnsi="Calibri"/>
          <w:color w:val="281E1E"/>
          <w:shd w:val="clear" w:color="auto" w:fill="FFFFFF"/>
          <w:lang w:val="en-US"/>
        </w:rPr>
        <w:t>,</w:t>
      </w:r>
      <w:r w:rsidR="00F0630E" w:rsidRPr="00620367">
        <w:rPr>
          <w:rFonts w:ascii="Calibri" w:hAnsi="Calibri"/>
          <w:color w:val="281E1E"/>
          <w:shd w:val="clear" w:color="auto" w:fill="FFFFFF"/>
          <w:lang w:val="en-US"/>
        </w:rPr>
        <w:t xml:space="preserve">314 </w:t>
      </w:r>
      <w:r w:rsidRPr="00620367">
        <w:rPr>
          <w:rFonts w:ascii="Calibri" w:hAnsi="Calibri"/>
          <w:color w:val="281E1E"/>
          <w:shd w:val="clear" w:color="auto" w:fill="FFFFFF"/>
          <w:lang w:val="en-US"/>
        </w:rPr>
        <w:t>new jobs</w:t>
      </w:r>
      <w:r w:rsidR="00F0630E" w:rsidRPr="00620367">
        <w:rPr>
          <w:rFonts w:ascii="Calibri" w:hAnsi="Calibri"/>
          <w:color w:val="281E1E"/>
          <w:shd w:val="clear" w:color="auto" w:fill="FFFFFF"/>
          <w:lang w:val="en-US"/>
        </w:rPr>
        <w:t xml:space="preserve">, </w:t>
      </w:r>
      <w:r w:rsidRPr="00620367">
        <w:rPr>
          <w:rFonts w:ascii="Calibri" w:hAnsi="Calibri"/>
          <w:color w:val="281E1E"/>
          <w:shd w:val="clear" w:color="auto" w:fill="FFFFFF"/>
          <w:lang w:val="en-US"/>
        </w:rPr>
        <w:t xml:space="preserve">while the surveys suggested the increase of </w:t>
      </w:r>
      <w:r w:rsidR="00F0630E" w:rsidRPr="00620367">
        <w:rPr>
          <w:rFonts w:ascii="Calibri" w:hAnsi="Calibri"/>
          <w:color w:val="281E1E"/>
          <w:shd w:val="clear" w:color="auto" w:fill="FFFFFF"/>
          <w:lang w:val="en-US"/>
        </w:rPr>
        <w:t>3</w:t>
      </w:r>
      <w:r w:rsidRPr="00620367">
        <w:rPr>
          <w:rFonts w:ascii="Calibri" w:hAnsi="Calibri"/>
          <w:color w:val="281E1E"/>
          <w:shd w:val="clear" w:color="auto" w:fill="FFFFFF"/>
          <w:lang w:val="en-US"/>
        </w:rPr>
        <w:t>.</w:t>
      </w:r>
      <w:r w:rsidR="00F0630E" w:rsidRPr="00620367">
        <w:rPr>
          <w:rFonts w:ascii="Calibri" w:hAnsi="Calibri"/>
          <w:color w:val="281E1E"/>
          <w:shd w:val="clear" w:color="auto" w:fill="FFFFFF"/>
          <w:lang w:val="en-US"/>
        </w:rPr>
        <w:t>5</w:t>
      </w:r>
      <w:r w:rsidRPr="00620367">
        <w:rPr>
          <w:rFonts w:ascii="Calibri" w:hAnsi="Calibri"/>
          <w:color w:val="281E1E"/>
          <w:shd w:val="clear" w:color="auto" w:fill="FFFFFF"/>
          <w:lang w:val="en-US"/>
        </w:rPr>
        <w:t>%</w:t>
      </w:r>
      <w:r w:rsidR="00F0630E" w:rsidRPr="00620367">
        <w:rPr>
          <w:rFonts w:ascii="Calibri" w:hAnsi="Calibri"/>
          <w:color w:val="281E1E"/>
          <w:shd w:val="clear" w:color="auto" w:fill="FFFFFF"/>
          <w:lang w:val="en-US"/>
        </w:rPr>
        <w:t xml:space="preserve">. </w:t>
      </w:r>
      <w:r w:rsidRPr="00620367">
        <w:rPr>
          <w:rFonts w:ascii="Calibri" w:hAnsi="Calibri"/>
          <w:color w:val="281E1E"/>
          <w:shd w:val="clear" w:color="auto" w:fill="FFFFFF"/>
          <w:lang w:val="en-US"/>
        </w:rPr>
        <w:t xml:space="preserve">Current unemployment rate is </w:t>
      </w:r>
      <w:r w:rsidR="00F0630E" w:rsidRPr="00620367">
        <w:rPr>
          <w:rFonts w:ascii="Calibri" w:hAnsi="Calibri"/>
          <w:color w:val="281E1E"/>
          <w:shd w:val="clear" w:color="auto" w:fill="FFFFFF"/>
          <w:lang w:val="en-US"/>
        </w:rPr>
        <w:t>22</w:t>
      </w:r>
      <w:r w:rsidRPr="00620367">
        <w:rPr>
          <w:rFonts w:ascii="Calibri" w:hAnsi="Calibri"/>
          <w:color w:val="281E1E"/>
          <w:shd w:val="clear" w:color="auto" w:fill="FFFFFF"/>
          <w:lang w:val="en-US"/>
        </w:rPr>
        <w:t>.</w:t>
      </w:r>
      <w:r w:rsidR="00F0630E" w:rsidRPr="00620367">
        <w:rPr>
          <w:rFonts w:ascii="Calibri" w:hAnsi="Calibri"/>
          <w:color w:val="281E1E"/>
          <w:shd w:val="clear" w:color="auto" w:fill="FFFFFF"/>
          <w:lang w:val="en-US"/>
        </w:rPr>
        <w:t>9</w:t>
      </w:r>
      <w:r w:rsidRPr="00620367">
        <w:rPr>
          <w:rFonts w:ascii="Calibri" w:hAnsi="Calibri"/>
          <w:color w:val="281E1E"/>
          <w:shd w:val="clear" w:color="auto" w:fill="FFFFFF"/>
          <w:lang w:val="en-US"/>
        </w:rPr>
        <w:t>%</w:t>
      </w:r>
      <w:r w:rsidR="00F0630E" w:rsidRPr="00620367">
        <w:rPr>
          <w:rFonts w:ascii="Calibri" w:hAnsi="Calibri"/>
          <w:color w:val="281E1E"/>
          <w:shd w:val="clear" w:color="auto" w:fill="FFFFFF"/>
          <w:lang w:val="en-US"/>
        </w:rPr>
        <w:t xml:space="preserve">. </w:t>
      </w:r>
      <w:r w:rsidR="00655815" w:rsidRPr="00620367">
        <w:rPr>
          <w:rFonts w:ascii="Calibri" w:hAnsi="Calibri"/>
          <w:color w:val="281E1E"/>
          <w:shd w:val="clear" w:color="auto" w:fill="FFFFFF"/>
          <w:lang w:val="en-US"/>
        </w:rPr>
        <w:t>A</w:t>
      </w:r>
      <w:r w:rsidRPr="00620367">
        <w:rPr>
          <w:rFonts w:ascii="Calibri" w:hAnsi="Calibri"/>
          <w:color w:val="281E1E"/>
          <w:shd w:val="clear" w:color="auto" w:fill="FFFFFF"/>
          <w:lang w:val="en-US"/>
        </w:rPr>
        <w:t xml:space="preserve">s announced, the Government is trying to find </w:t>
      </w:r>
      <w:r w:rsidR="00655815" w:rsidRPr="00620367">
        <w:rPr>
          <w:rFonts w:ascii="Calibri" w:hAnsi="Calibri"/>
          <w:color w:val="281E1E"/>
          <w:shd w:val="clear" w:color="auto" w:fill="FFFFFF"/>
          <w:lang w:val="en-US"/>
        </w:rPr>
        <w:t xml:space="preserve">a way to reduce the unemployment rate below </w:t>
      </w:r>
      <w:r w:rsidR="00F0630E" w:rsidRPr="00620367">
        <w:rPr>
          <w:rFonts w:ascii="Calibri" w:hAnsi="Calibri"/>
          <w:color w:val="281E1E"/>
          <w:shd w:val="clear" w:color="auto" w:fill="FFFFFF"/>
          <w:lang w:val="en-US"/>
        </w:rPr>
        <w:t>20</w:t>
      </w:r>
      <w:r w:rsidR="00655815" w:rsidRPr="00620367">
        <w:rPr>
          <w:rFonts w:ascii="Calibri" w:hAnsi="Calibri"/>
          <w:color w:val="281E1E"/>
          <w:shd w:val="clear" w:color="auto" w:fill="FFFFFF"/>
          <w:lang w:val="en-US"/>
        </w:rPr>
        <w:t>%</w:t>
      </w:r>
      <w:r w:rsidR="00F0630E" w:rsidRPr="00620367">
        <w:rPr>
          <w:rFonts w:ascii="Calibri" w:hAnsi="Calibri"/>
          <w:color w:val="281E1E"/>
          <w:shd w:val="clear" w:color="auto" w:fill="FFFFFF"/>
          <w:lang w:val="en-US"/>
        </w:rPr>
        <w:t xml:space="preserve">, </w:t>
      </w:r>
      <w:r w:rsidR="00655815" w:rsidRPr="00620367">
        <w:rPr>
          <w:rFonts w:ascii="Calibri" w:hAnsi="Calibri"/>
          <w:color w:val="281E1E"/>
          <w:shd w:val="clear" w:color="auto" w:fill="FFFFFF"/>
          <w:lang w:val="en-US"/>
        </w:rPr>
        <w:t>and it will therefore in the forthcoming period initiate some projects trying to achieve this goal</w:t>
      </w:r>
      <w:r w:rsidR="00F0630E" w:rsidRPr="00620367">
        <w:rPr>
          <w:rFonts w:ascii="Calibri" w:hAnsi="Calibri"/>
          <w:color w:val="281E1E"/>
          <w:shd w:val="clear" w:color="auto" w:fill="FFFFFF"/>
          <w:lang w:val="en-US"/>
        </w:rPr>
        <w:t>.</w:t>
      </w:r>
    </w:p>
    <w:p w:rsidR="00F0630E" w:rsidRPr="00620367" w:rsidRDefault="00655815" w:rsidP="00957D41">
      <w:pPr>
        <w:pStyle w:val="HTMLPreformatted"/>
        <w:shd w:val="clear" w:color="auto" w:fill="FFFFFF"/>
        <w:jc w:val="both"/>
        <w:rPr>
          <w:rFonts w:ascii="Calibri" w:hAnsi="Calibri" w:cs="Arial"/>
          <w:color w:val="333333"/>
          <w:sz w:val="22"/>
          <w:szCs w:val="22"/>
          <w:shd w:val="clear" w:color="auto" w:fill="FFFFFF"/>
          <w:lang w:val="en-US"/>
        </w:rPr>
      </w:pPr>
      <w:r w:rsidRPr="00620367">
        <w:rPr>
          <w:rFonts w:ascii="Calibri" w:hAnsi="Calibri" w:cs="Arial"/>
          <w:color w:val="333333"/>
          <w:sz w:val="22"/>
          <w:szCs w:val="22"/>
          <w:shd w:val="clear" w:color="auto" w:fill="FFFFFF"/>
          <w:lang w:val="en-US"/>
        </w:rPr>
        <w:t xml:space="preserve">With the Amendments to the Law on social and child protection, which came into </w:t>
      </w:r>
      <w:r w:rsidR="00B72F1C" w:rsidRPr="00620367">
        <w:rPr>
          <w:rFonts w:ascii="Calibri" w:hAnsi="Calibri" w:cs="Arial"/>
          <w:color w:val="333333"/>
          <w:sz w:val="22"/>
          <w:szCs w:val="22"/>
          <w:shd w:val="clear" w:color="auto" w:fill="FFFFFF"/>
          <w:lang w:val="en-US"/>
        </w:rPr>
        <w:t xml:space="preserve">force </w:t>
      </w:r>
      <w:r w:rsidRPr="00620367">
        <w:rPr>
          <w:rFonts w:ascii="Calibri" w:hAnsi="Calibri" w:cs="Arial"/>
          <w:color w:val="333333"/>
          <w:sz w:val="22"/>
          <w:szCs w:val="22"/>
          <w:shd w:val="clear" w:color="auto" w:fill="FFFFFF"/>
          <w:lang w:val="en-US"/>
        </w:rPr>
        <w:t xml:space="preserve">on </w:t>
      </w:r>
      <w:r w:rsidR="00F0630E" w:rsidRPr="00620367">
        <w:rPr>
          <w:rFonts w:ascii="Calibri" w:hAnsi="Calibri" w:cs="Arial"/>
          <w:color w:val="333333"/>
          <w:sz w:val="22"/>
          <w:szCs w:val="22"/>
          <w:shd w:val="clear" w:color="auto" w:fill="FFFFFF"/>
          <w:lang w:val="en-US"/>
        </w:rPr>
        <w:t>17</w:t>
      </w:r>
      <w:r w:rsidRPr="00620367">
        <w:rPr>
          <w:rFonts w:ascii="Calibri" w:hAnsi="Calibri" w:cs="Arial"/>
          <w:color w:val="333333"/>
          <w:sz w:val="22"/>
          <w:szCs w:val="22"/>
          <w:shd w:val="clear" w:color="auto" w:fill="FFFFFF"/>
          <w:lang w:val="en-US"/>
        </w:rPr>
        <w:t xml:space="preserve"> January </w:t>
      </w:r>
      <w:r w:rsidR="00F0630E" w:rsidRPr="00620367">
        <w:rPr>
          <w:rFonts w:ascii="Calibri" w:hAnsi="Calibri" w:cs="Arial"/>
          <w:color w:val="333333"/>
          <w:sz w:val="22"/>
          <w:szCs w:val="22"/>
          <w:shd w:val="clear" w:color="auto" w:fill="FFFFFF"/>
          <w:lang w:val="en-US"/>
        </w:rPr>
        <w:t>2017</w:t>
      </w:r>
      <w:r w:rsidRPr="00620367">
        <w:rPr>
          <w:rFonts w:ascii="Calibri" w:hAnsi="Calibri" w:cs="Arial"/>
          <w:color w:val="333333"/>
          <w:sz w:val="22"/>
          <w:szCs w:val="22"/>
          <w:shd w:val="clear" w:color="auto" w:fill="FFFFFF"/>
          <w:lang w:val="en-US"/>
        </w:rPr>
        <w:t xml:space="preserve">, of </w:t>
      </w:r>
      <w:r w:rsidR="00F0630E" w:rsidRPr="00620367">
        <w:rPr>
          <w:rFonts w:ascii="Calibri" w:hAnsi="Calibri" w:cs="Arial"/>
          <w:color w:val="333333"/>
          <w:sz w:val="22"/>
          <w:szCs w:val="22"/>
          <w:shd w:val="clear" w:color="auto" w:fill="FFFFFF"/>
          <w:lang w:val="en-US"/>
        </w:rPr>
        <w:t>22</w:t>
      </w:r>
      <w:r w:rsidRPr="00620367">
        <w:rPr>
          <w:rFonts w:ascii="Calibri" w:hAnsi="Calibri" w:cs="Arial"/>
          <w:color w:val="333333"/>
          <w:sz w:val="22"/>
          <w:szCs w:val="22"/>
          <w:shd w:val="clear" w:color="auto" w:fill="FFFFFF"/>
          <w:lang w:val="en-US"/>
        </w:rPr>
        <w:t>,</w:t>
      </w:r>
      <w:r w:rsidR="00F0630E" w:rsidRPr="00620367">
        <w:rPr>
          <w:rFonts w:ascii="Calibri" w:hAnsi="Calibri" w:cs="Arial"/>
          <w:color w:val="333333"/>
          <w:sz w:val="22"/>
          <w:szCs w:val="22"/>
          <w:shd w:val="clear" w:color="auto" w:fill="FFFFFF"/>
          <w:lang w:val="en-US"/>
        </w:rPr>
        <w:t>000 m</w:t>
      </w:r>
      <w:r w:rsidRPr="00620367">
        <w:rPr>
          <w:rFonts w:ascii="Calibri" w:hAnsi="Calibri" w:cs="Arial"/>
          <w:color w:val="333333"/>
          <w:sz w:val="22"/>
          <w:szCs w:val="22"/>
          <w:shd w:val="clear" w:color="auto" w:fill="FFFFFF"/>
          <w:lang w:val="en-US"/>
        </w:rPr>
        <w:t>other who were receiving benefits for 18 months for giving birth to three or more children</w:t>
      </w:r>
      <w:r w:rsidR="00F0630E" w:rsidRPr="00620367">
        <w:rPr>
          <w:rFonts w:ascii="Calibri" w:hAnsi="Calibri" w:cs="Arial"/>
          <w:color w:val="333333"/>
          <w:sz w:val="22"/>
          <w:szCs w:val="22"/>
          <w:shd w:val="clear" w:color="auto" w:fill="FFFFFF"/>
          <w:lang w:val="en-US"/>
        </w:rPr>
        <w:t>, t</w:t>
      </w:r>
      <w:r w:rsidRPr="00620367">
        <w:rPr>
          <w:rFonts w:ascii="Calibri" w:hAnsi="Calibri" w:cs="Arial"/>
          <w:color w:val="333333"/>
          <w:sz w:val="22"/>
          <w:szCs w:val="22"/>
          <w:shd w:val="clear" w:color="auto" w:fill="FFFFFF"/>
          <w:lang w:val="en-US"/>
        </w:rPr>
        <w:t xml:space="preserve">his right is exercised by only </w:t>
      </w:r>
      <w:r w:rsidR="00F0630E" w:rsidRPr="00620367">
        <w:rPr>
          <w:rFonts w:ascii="Calibri" w:hAnsi="Calibri" w:cs="Arial"/>
          <w:color w:val="333333"/>
          <w:sz w:val="22"/>
          <w:szCs w:val="22"/>
          <w:shd w:val="clear" w:color="auto" w:fill="FFFFFF"/>
          <w:lang w:val="en-US"/>
        </w:rPr>
        <w:t>1</w:t>
      </w:r>
      <w:r w:rsidRPr="00620367">
        <w:rPr>
          <w:rFonts w:ascii="Calibri" w:hAnsi="Calibri" w:cs="Arial"/>
          <w:color w:val="333333"/>
          <w:sz w:val="22"/>
          <w:szCs w:val="22"/>
          <w:shd w:val="clear" w:color="auto" w:fill="FFFFFF"/>
          <w:lang w:val="en-US"/>
        </w:rPr>
        <w:t>,</w:t>
      </w:r>
      <w:r w:rsidR="00F0630E" w:rsidRPr="00620367">
        <w:rPr>
          <w:rFonts w:ascii="Calibri" w:hAnsi="Calibri" w:cs="Arial"/>
          <w:color w:val="333333"/>
          <w:sz w:val="22"/>
          <w:szCs w:val="22"/>
          <w:shd w:val="clear" w:color="auto" w:fill="FFFFFF"/>
          <w:lang w:val="en-US"/>
        </w:rPr>
        <w:t>90</w:t>
      </w:r>
      <w:r w:rsidR="00AF5D07" w:rsidRPr="00620367">
        <w:rPr>
          <w:rFonts w:ascii="Calibri" w:hAnsi="Calibri" w:cs="Arial"/>
          <w:color w:val="333333"/>
          <w:sz w:val="22"/>
          <w:szCs w:val="22"/>
          <w:shd w:val="clear" w:color="auto" w:fill="FFFFFF"/>
          <w:lang w:val="en-US"/>
        </w:rPr>
        <w:t xml:space="preserve">2 </w:t>
      </w:r>
      <w:r w:rsidRPr="00620367">
        <w:rPr>
          <w:rFonts w:ascii="Calibri" w:hAnsi="Calibri" w:cs="Arial"/>
          <w:color w:val="333333"/>
          <w:sz w:val="22"/>
          <w:szCs w:val="22"/>
          <w:shd w:val="clear" w:color="auto" w:fill="FFFFFF"/>
          <w:lang w:val="en-US"/>
        </w:rPr>
        <w:t>women, and no longer than five years</w:t>
      </w:r>
      <w:r w:rsidR="00AF5D07" w:rsidRPr="00620367">
        <w:rPr>
          <w:rFonts w:ascii="Calibri" w:hAnsi="Calibri" w:cs="Arial"/>
          <w:color w:val="333333"/>
          <w:sz w:val="22"/>
          <w:szCs w:val="22"/>
          <w:shd w:val="clear" w:color="auto" w:fill="FFFFFF"/>
          <w:lang w:val="en-US"/>
        </w:rPr>
        <w:t>.</w:t>
      </w:r>
    </w:p>
    <w:p w:rsidR="00957D41" w:rsidRPr="00620367" w:rsidRDefault="00957D41" w:rsidP="00957D41">
      <w:pPr>
        <w:pStyle w:val="HTMLPreformatted"/>
        <w:shd w:val="clear" w:color="auto" w:fill="FFFFFF"/>
        <w:jc w:val="both"/>
        <w:rPr>
          <w:rFonts w:ascii="Calibri" w:hAnsi="Calibri" w:cs="Arial"/>
          <w:color w:val="5B5B5B"/>
          <w:sz w:val="22"/>
          <w:szCs w:val="22"/>
          <w:lang w:val="en-US"/>
        </w:rPr>
      </w:pPr>
    </w:p>
    <w:p w:rsidR="00957D41" w:rsidRPr="00620367" w:rsidRDefault="00655815" w:rsidP="00CE3EED">
      <w:pPr>
        <w:contextualSpacing/>
        <w:jc w:val="both"/>
        <w:rPr>
          <w:rFonts w:ascii="Calibri" w:hAnsi="Calibri"/>
          <w:lang w:val="en-US"/>
        </w:rPr>
      </w:pPr>
      <w:r w:rsidRPr="00620367">
        <w:rPr>
          <w:rFonts w:ascii="Calibri" w:hAnsi="Calibri"/>
          <w:lang w:val="en-US"/>
        </w:rPr>
        <w:t xml:space="preserve">Montenegro has </w:t>
      </w:r>
      <w:r w:rsidR="00D54561" w:rsidRPr="00620367">
        <w:rPr>
          <w:rFonts w:ascii="Calibri" w:hAnsi="Calibri"/>
          <w:lang w:val="en-US"/>
        </w:rPr>
        <w:t>30</w:t>
      </w:r>
      <w:r w:rsidRPr="00620367">
        <w:rPr>
          <w:rFonts w:ascii="Calibri" w:hAnsi="Calibri"/>
          <w:lang w:val="en-US"/>
        </w:rPr>
        <w:t>,</w:t>
      </w:r>
      <w:r w:rsidR="00D54561" w:rsidRPr="00620367">
        <w:rPr>
          <w:rFonts w:ascii="Calibri" w:hAnsi="Calibri"/>
          <w:lang w:val="en-US"/>
        </w:rPr>
        <w:t xml:space="preserve">000 </w:t>
      </w:r>
      <w:r w:rsidRPr="00620367">
        <w:rPr>
          <w:rFonts w:ascii="Calibri" w:hAnsi="Calibri"/>
          <w:lang w:val="en-US"/>
        </w:rPr>
        <w:t>beneficiaries of social benefits</w:t>
      </w:r>
      <w:r w:rsidR="00D54561" w:rsidRPr="00620367">
        <w:rPr>
          <w:rFonts w:ascii="Calibri" w:hAnsi="Calibri"/>
          <w:lang w:val="en-US"/>
        </w:rPr>
        <w:t xml:space="preserve">. </w:t>
      </w:r>
      <w:r w:rsidRPr="00620367">
        <w:rPr>
          <w:rFonts w:ascii="Calibri" w:hAnsi="Calibri"/>
          <w:lang w:val="en-US"/>
        </w:rPr>
        <w:t>The amount of social benefits cannot cover even the minimum of living costs</w:t>
      </w:r>
      <w:r w:rsidR="00D54561" w:rsidRPr="00620367">
        <w:rPr>
          <w:rFonts w:ascii="Calibri" w:hAnsi="Calibri"/>
          <w:lang w:val="en-US"/>
        </w:rPr>
        <w:t xml:space="preserve">. </w:t>
      </w:r>
      <w:r w:rsidRPr="00620367">
        <w:rPr>
          <w:rFonts w:ascii="Calibri" w:hAnsi="Calibri"/>
          <w:lang w:val="en-US"/>
        </w:rPr>
        <w:t xml:space="preserve">Percentage of contributions or social protection from GDP </w:t>
      </w:r>
      <w:r w:rsidR="00D54561" w:rsidRPr="00620367">
        <w:rPr>
          <w:rFonts w:ascii="Calibri" w:hAnsi="Calibri"/>
          <w:lang w:val="en-US"/>
        </w:rPr>
        <w:t>(</w:t>
      </w:r>
      <w:r w:rsidRPr="00620367">
        <w:rPr>
          <w:rFonts w:ascii="Calibri" w:hAnsi="Calibri"/>
          <w:lang w:val="en-US"/>
        </w:rPr>
        <w:t>including the education and healthcare protection</w:t>
      </w:r>
      <w:r w:rsidR="00D54561" w:rsidRPr="00620367">
        <w:rPr>
          <w:rFonts w:ascii="Calibri" w:hAnsi="Calibri"/>
          <w:lang w:val="en-US"/>
        </w:rPr>
        <w:t xml:space="preserve">) </w:t>
      </w:r>
      <w:r w:rsidRPr="00620367">
        <w:rPr>
          <w:rFonts w:ascii="Calibri" w:hAnsi="Calibri"/>
          <w:lang w:val="en-US"/>
        </w:rPr>
        <w:t xml:space="preserve">is around </w:t>
      </w:r>
      <w:r w:rsidR="00D54561" w:rsidRPr="00620367">
        <w:rPr>
          <w:rFonts w:ascii="Calibri" w:hAnsi="Calibri"/>
          <w:lang w:val="en-US"/>
        </w:rPr>
        <w:t>9</w:t>
      </w:r>
      <w:r w:rsidRPr="00620367">
        <w:rPr>
          <w:rFonts w:ascii="Calibri" w:hAnsi="Calibri"/>
          <w:lang w:val="en-US"/>
        </w:rPr>
        <w:t>.</w:t>
      </w:r>
      <w:r w:rsidR="00D54561" w:rsidRPr="00620367">
        <w:rPr>
          <w:rFonts w:ascii="Calibri" w:hAnsi="Calibri"/>
          <w:lang w:val="en-US"/>
        </w:rPr>
        <w:t>5%.</w:t>
      </w:r>
    </w:p>
    <w:p w:rsidR="00957D41" w:rsidRPr="00620367" w:rsidRDefault="00D54561" w:rsidP="00CE3EED">
      <w:pPr>
        <w:contextualSpacing/>
        <w:jc w:val="both"/>
        <w:rPr>
          <w:rFonts w:ascii="Calibri" w:hAnsi="Calibri"/>
          <w:lang w:val="en-US"/>
        </w:rPr>
      </w:pPr>
      <w:r w:rsidRPr="00620367">
        <w:rPr>
          <w:rFonts w:ascii="Calibri" w:hAnsi="Calibri"/>
          <w:lang w:val="en-US"/>
        </w:rPr>
        <w:t xml:space="preserve"> </w:t>
      </w:r>
    </w:p>
    <w:p w:rsidR="00F14D05" w:rsidRPr="00620367" w:rsidRDefault="00655815" w:rsidP="00CE3EED">
      <w:pPr>
        <w:jc w:val="both"/>
        <w:rPr>
          <w:rFonts w:ascii="Calibri" w:hAnsi="Calibri"/>
          <w:lang w:val="en-US"/>
        </w:rPr>
      </w:pPr>
      <w:r w:rsidRPr="00620367">
        <w:rPr>
          <w:rFonts w:ascii="Calibri" w:hAnsi="Calibri"/>
          <w:lang w:val="en-US"/>
        </w:rPr>
        <w:t>Labor market is still characterized by</w:t>
      </w:r>
      <w:r w:rsidR="00D54561" w:rsidRPr="00620367">
        <w:rPr>
          <w:rFonts w:ascii="Calibri" w:hAnsi="Calibri"/>
          <w:lang w:val="en-US"/>
        </w:rPr>
        <w:t xml:space="preserve">: </w:t>
      </w:r>
      <w:r w:rsidRPr="00620367">
        <w:rPr>
          <w:rFonts w:ascii="Calibri" w:hAnsi="Calibri"/>
          <w:lang w:val="en-US"/>
        </w:rPr>
        <w:t>high rates of inactive labor force</w:t>
      </w:r>
      <w:r w:rsidR="00D54561" w:rsidRPr="00620367">
        <w:rPr>
          <w:rFonts w:ascii="Calibri" w:hAnsi="Calibri"/>
          <w:lang w:val="en-US"/>
        </w:rPr>
        <w:t xml:space="preserve">, </w:t>
      </w:r>
      <w:r w:rsidRPr="00620367">
        <w:rPr>
          <w:rFonts w:ascii="Calibri" w:hAnsi="Calibri"/>
          <w:lang w:val="en-US"/>
        </w:rPr>
        <w:t>low employment rates</w:t>
      </w:r>
      <w:r w:rsidR="00D54561" w:rsidRPr="00620367">
        <w:rPr>
          <w:rFonts w:ascii="Calibri" w:hAnsi="Calibri"/>
          <w:lang w:val="en-US"/>
        </w:rPr>
        <w:t xml:space="preserve">, </w:t>
      </w:r>
      <w:r w:rsidRPr="00620367">
        <w:rPr>
          <w:rFonts w:ascii="Calibri" w:hAnsi="Calibri"/>
          <w:lang w:val="en-US"/>
        </w:rPr>
        <w:t>long-term unemployment</w:t>
      </w:r>
      <w:r w:rsidR="00D54561" w:rsidRPr="00620367">
        <w:rPr>
          <w:rFonts w:ascii="Calibri" w:hAnsi="Calibri"/>
          <w:lang w:val="en-US"/>
        </w:rPr>
        <w:t>, stru</w:t>
      </w:r>
      <w:r w:rsidRPr="00620367">
        <w:rPr>
          <w:rFonts w:ascii="Calibri" w:hAnsi="Calibri"/>
          <w:lang w:val="en-US"/>
        </w:rPr>
        <w:t>ctural misbalance between supply and demand and high unemployment rates, particularly youth, women and other unemployable categories of unemployed population</w:t>
      </w:r>
      <w:r w:rsidR="00D54561" w:rsidRPr="00620367">
        <w:rPr>
          <w:rFonts w:ascii="Calibri" w:hAnsi="Calibri"/>
          <w:lang w:val="en-US"/>
        </w:rPr>
        <w:t xml:space="preserve">, </w:t>
      </w:r>
      <w:r w:rsidRPr="00620367">
        <w:rPr>
          <w:rFonts w:ascii="Calibri" w:hAnsi="Calibri"/>
          <w:lang w:val="en-US"/>
        </w:rPr>
        <w:t>a large number of those employed in grey economy</w:t>
      </w:r>
      <w:r w:rsidR="00D54561" w:rsidRPr="00620367">
        <w:rPr>
          <w:rFonts w:ascii="Calibri" w:hAnsi="Calibri"/>
          <w:lang w:val="en-US"/>
        </w:rPr>
        <w:t>, regional</w:t>
      </w:r>
      <w:r w:rsidRPr="00620367">
        <w:rPr>
          <w:rFonts w:ascii="Calibri" w:hAnsi="Calibri"/>
          <w:lang w:val="en-US"/>
        </w:rPr>
        <w:t xml:space="preserve"> differences in unemployment</w:t>
      </w:r>
      <w:r w:rsidR="00D54561" w:rsidRPr="00620367">
        <w:rPr>
          <w:rFonts w:ascii="Calibri" w:hAnsi="Calibri"/>
          <w:lang w:val="en-US"/>
        </w:rPr>
        <w:t xml:space="preserve">, </w:t>
      </w:r>
      <w:r w:rsidRPr="00620367">
        <w:rPr>
          <w:rFonts w:ascii="Calibri" w:hAnsi="Calibri"/>
          <w:lang w:val="en-US"/>
        </w:rPr>
        <w:t>low share of citizens in programs of lifelong learning</w:t>
      </w:r>
      <w:r w:rsidR="00D54561" w:rsidRPr="00620367">
        <w:rPr>
          <w:rFonts w:ascii="Calibri" w:hAnsi="Calibri"/>
          <w:lang w:val="en-US"/>
        </w:rPr>
        <w:t xml:space="preserve">, </w:t>
      </w:r>
      <w:r w:rsidRPr="00620367">
        <w:rPr>
          <w:rFonts w:ascii="Calibri" w:hAnsi="Calibri"/>
          <w:lang w:val="en-US"/>
        </w:rPr>
        <w:t>insufficient linkage between activation measures and social assistance, low level of engagement of persons with disability and vulnerable categories in labor market</w:t>
      </w:r>
      <w:r w:rsidR="00D54561" w:rsidRPr="00620367">
        <w:rPr>
          <w:rFonts w:ascii="Calibri" w:hAnsi="Calibri"/>
          <w:lang w:val="en-US"/>
        </w:rPr>
        <w:t>.</w:t>
      </w:r>
      <w:r w:rsidRPr="00620367">
        <w:rPr>
          <w:rFonts w:ascii="Calibri" w:hAnsi="Calibri"/>
          <w:lang w:val="en-US"/>
        </w:rPr>
        <w:t xml:space="preserve"> A special challenge for labor market was a legal solution in the area of social policy </w:t>
      </w:r>
      <w:r w:rsidR="00D54561" w:rsidRPr="00620367">
        <w:rPr>
          <w:rFonts w:ascii="Calibri" w:hAnsi="Calibri"/>
          <w:lang w:val="en-US"/>
        </w:rPr>
        <w:t>(</w:t>
      </w:r>
      <w:r w:rsidRPr="00620367">
        <w:rPr>
          <w:rFonts w:ascii="Calibri" w:hAnsi="Calibri"/>
          <w:lang w:val="en-US"/>
        </w:rPr>
        <w:t xml:space="preserve">from </w:t>
      </w:r>
      <w:r w:rsidR="00D54561" w:rsidRPr="00620367">
        <w:rPr>
          <w:rFonts w:ascii="Calibri" w:hAnsi="Calibri"/>
          <w:lang w:val="en-US"/>
        </w:rPr>
        <w:t xml:space="preserve">2015), </w:t>
      </w:r>
      <w:r w:rsidRPr="00620367">
        <w:rPr>
          <w:rFonts w:ascii="Calibri" w:hAnsi="Calibri"/>
          <w:lang w:val="en-US"/>
        </w:rPr>
        <w:t xml:space="preserve">which allowed </w:t>
      </w:r>
      <w:r w:rsidR="00627023" w:rsidRPr="00620367">
        <w:rPr>
          <w:rFonts w:ascii="Calibri" w:hAnsi="Calibri"/>
          <w:lang w:val="en-US"/>
        </w:rPr>
        <w:t>a certain category of women to leave the labor market</w:t>
      </w:r>
      <w:r w:rsidR="00D54561" w:rsidRPr="00620367">
        <w:rPr>
          <w:rFonts w:ascii="Calibri" w:hAnsi="Calibri"/>
          <w:lang w:val="en-US"/>
        </w:rPr>
        <w:t xml:space="preserve">, </w:t>
      </w:r>
      <w:r w:rsidR="00627023" w:rsidRPr="00620367">
        <w:rPr>
          <w:rFonts w:ascii="Calibri" w:hAnsi="Calibri"/>
          <w:lang w:val="en-US"/>
        </w:rPr>
        <w:t>creation of fictitious unemployment on one hand and the work in grey economy on the other hand</w:t>
      </w:r>
      <w:r w:rsidR="00D54561" w:rsidRPr="00620367">
        <w:rPr>
          <w:rFonts w:ascii="Calibri" w:hAnsi="Calibri"/>
          <w:lang w:val="en-US"/>
        </w:rPr>
        <w:t>. (</w:t>
      </w:r>
      <w:r w:rsidR="00627023" w:rsidRPr="00620367">
        <w:rPr>
          <w:rFonts w:ascii="Calibri" w:hAnsi="Calibri"/>
          <w:lang w:val="en-US"/>
        </w:rPr>
        <w:t xml:space="preserve">However economic policy measures for </w:t>
      </w:r>
      <w:r w:rsidR="00D54561" w:rsidRPr="00620367">
        <w:rPr>
          <w:rFonts w:ascii="Calibri" w:hAnsi="Calibri"/>
          <w:lang w:val="en-US"/>
        </w:rPr>
        <w:t>2017</w:t>
      </w:r>
      <w:r w:rsidR="00627023" w:rsidRPr="00620367">
        <w:rPr>
          <w:rFonts w:ascii="Calibri" w:hAnsi="Calibri"/>
          <w:lang w:val="en-US"/>
        </w:rPr>
        <w:t xml:space="preserve"> alleviated this problem.</w:t>
      </w:r>
      <w:r w:rsidR="00D54561" w:rsidRPr="00620367">
        <w:rPr>
          <w:rFonts w:ascii="Calibri" w:hAnsi="Calibri"/>
          <w:lang w:val="en-US"/>
        </w:rPr>
        <w:t>)</w:t>
      </w:r>
    </w:p>
    <w:p w:rsidR="00F14D05" w:rsidRPr="00620367" w:rsidRDefault="007C4B2B" w:rsidP="00CE3EED">
      <w:pPr>
        <w:jc w:val="both"/>
        <w:rPr>
          <w:rFonts w:ascii="Calibri" w:hAnsi="Calibri" w:cs="Arial"/>
          <w:b/>
          <w:color w:val="333333"/>
          <w:shd w:val="clear" w:color="auto" w:fill="FFFFFF"/>
          <w:lang w:val="en-US"/>
        </w:rPr>
      </w:pPr>
      <w:r w:rsidRPr="00620367">
        <w:rPr>
          <w:rFonts w:ascii="Calibri" w:hAnsi="Calibri" w:cs="Arial"/>
          <w:b/>
          <w:color w:val="333333"/>
          <w:shd w:val="clear" w:color="auto" w:fill="FFFFFF"/>
          <w:lang w:val="en-US"/>
        </w:rPr>
        <w:t>Efficiency of national institutions and instruments of financial control</w:t>
      </w:r>
    </w:p>
    <w:p w:rsidR="00F14D05" w:rsidRPr="00620367" w:rsidRDefault="007C4B2B" w:rsidP="00CE3EED">
      <w:pPr>
        <w:jc w:val="both"/>
        <w:rPr>
          <w:rFonts w:ascii="Calibri" w:hAnsi="Calibri" w:cs="Arial"/>
          <w:b/>
          <w:color w:val="333333"/>
          <w:shd w:val="clear" w:color="auto" w:fill="FFFFFF"/>
          <w:lang w:val="en-US"/>
        </w:rPr>
      </w:pPr>
      <w:r w:rsidRPr="00620367">
        <w:rPr>
          <w:rFonts w:ascii="Calibri" w:hAnsi="Calibri" w:cs="Arial"/>
          <w:color w:val="333333"/>
          <w:shd w:val="clear" w:color="auto" w:fill="FFFFFF"/>
          <w:lang w:val="en-US"/>
        </w:rPr>
        <w:t xml:space="preserve">Basic vulnerability of Montenegrin economy can be seen in the amount of central state debt, which on 30 September 2017 amounted to </w:t>
      </w:r>
      <w:r w:rsidR="00F14D05" w:rsidRPr="00620367">
        <w:rPr>
          <w:rFonts w:ascii="Calibri" w:hAnsi="Calibri" w:cs="Arial"/>
          <w:color w:val="333333"/>
          <w:shd w:val="clear" w:color="auto" w:fill="FFFFFF"/>
          <w:lang w:val="en-US"/>
        </w:rPr>
        <w:t>2</w:t>
      </w:r>
      <w:r w:rsidRPr="00620367">
        <w:rPr>
          <w:rFonts w:ascii="Calibri" w:hAnsi="Calibri" w:cs="Arial"/>
          <w:color w:val="333333"/>
          <w:shd w:val="clear" w:color="auto" w:fill="FFFFFF"/>
          <w:lang w:val="en-US"/>
        </w:rPr>
        <w:t>,</w:t>
      </w:r>
      <w:r w:rsidR="00F14D05" w:rsidRPr="00620367">
        <w:rPr>
          <w:rFonts w:ascii="Calibri" w:hAnsi="Calibri" w:cs="Arial"/>
          <w:color w:val="333333"/>
          <w:shd w:val="clear" w:color="auto" w:fill="FFFFFF"/>
          <w:lang w:val="en-US"/>
        </w:rPr>
        <w:t>490</w:t>
      </w:r>
      <w:r w:rsidRPr="00620367">
        <w:rPr>
          <w:rFonts w:ascii="Calibri" w:hAnsi="Calibri" w:cs="Arial"/>
          <w:color w:val="333333"/>
          <w:shd w:val="clear" w:color="auto" w:fill="FFFFFF"/>
          <w:lang w:val="en-US"/>
        </w:rPr>
        <w:t>.</w:t>
      </w:r>
      <w:r w:rsidR="00F14D05" w:rsidRPr="00620367">
        <w:rPr>
          <w:rFonts w:ascii="Calibri" w:hAnsi="Calibri" w:cs="Arial"/>
          <w:color w:val="333333"/>
          <w:shd w:val="clear" w:color="auto" w:fill="FFFFFF"/>
          <w:lang w:val="en-US"/>
        </w:rPr>
        <w:t>31 mil</w:t>
      </w:r>
      <w:r w:rsidRPr="00620367">
        <w:rPr>
          <w:rFonts w:ascii="Calibri" w:hAnsi="Calibri" w:cs="Arial"/>
          <w:color w:val="333333"/>
          <w:shd w:val="clear" w:color="auto" w:fill="FFFFFF"/>
          <w:lang w:val="en-US"/>
        </w:rPr>
        <w:t>lion</w:t>
      </w:r>
      <w:r w:rsidR="00F14D05" w:rsidRPr="00620367">
        <w:rPr>
          <w:rFonts w:ascii="Calibri" w:hAnsi="Calibri" w:cs="Arial"/>
          <w:color w:val="333333"/>
          <w:shd w:val="clear" w:color="auto" w:fill="FFFFFF"/>
          <w:lang w:val="en-US"/>
        </w:rPr>
        <w:t xml:space="preserve"> € </w:t>
      </w:r>
      <w:r w:rsidRPr="00620367">
        <w:rPr>
          <w:rFonts w:ascii="Calibri" w:hAnsi="Calibri" w:cs="Arial"/>
          <w:color w:val="333333"/>
          <w:shd w:val="clear" w:color="auto" w:fill="FFFFFF"/>
          <w:lang w:val="en-US"/>
        </w:rPr>
        <w:t xml:space="preserve">or </w:t>
      </w:r>
      <w:r w:rsidR="00F14D05" w:rsidRPr="00620367">
        <w:rPr>
          <w:rFonts w:ascii="Calibri" w:hAnsi="Calibri" w:cs="Arial"/>
          <w:color w:val="333333"/>
          <w:shd w:val="clear" w:color="auto" w:fill="FFFFFF"/>
          <w:lang w:val="en-US"/>
        </w:rPr>
        <w:t>59</w:t>
      </w:r>
      <w:r w:rsidRPr="00620367">
        <w:rPr>
          <w:rFonts w:ascii="Calibri" w:hAnsi="Calibri" w:cs="Arial"/>
          <w:color w:val="333333"/>
          <w:shd w:val="clear" w:color="auto" w:fill="FFFFFF"/>
          <w:lang w:val="en-US"/>
        </w:rPr>
        <w:t>.</w:t>
      </w:r>
      <w:r w:rsidR="00F14D05" w:rsidRPr="00620367">
        <w:rPr>
          <w:rFonts w:ascii="Calibri" w:hAnsi="Calibri" w:cs="Arial"/>
          <w:color w:val="333333"/>
          <w:shd w:val="clear" w:color="auto" w:fill="FFFFFF"/>
          <w:lang w:val="en-US"/>
        </w:rPr>
        <w:t>26%</w:t>
      </w:r>
      <w:r w:rsidRPr="00620367">
        <w:rPr>
          <w:rFonts w:ascii="Calibri" w:hAnsi="Calibri" w:cs="Arial"/>
          <w:color w:val="333333"/>
          <w:shd w:val="clear" w:color="auto" w:fill="FFFFFF"/>
          <w:lang w:val="en-US"/>
        </w:rPr>
        <w:t xml:space="preserve"> of G</w:t>
      </w:r>
      <w:r w:rsidR="00F14D05" w:rsidRPr="00620367">
        <w:rPr>
          <w:rFonts w:ascii="Calibri" w:hAnsi="Calibri" w:cs="Arial"/>
          <w:color w:val="333333"/>
          <w:shd w:val="clear" w:color="auto" w:fill="FFFFFF"/>
          <w:lang w:val="en-US"/>
        </w:rPr>
        <w:t xml:space="preserve">DP. </w:t>
      </w:r>
      <w:r w:rsidRPr="00620367">
        <w:rPr>
          <w:rFonts w:ascii="Calibri" w:hAnsi="Calibri" w:cs="Arial"/>
          <w:color w:val="333333"/>
          <w:shd w:val="clear" w:color="auto" w:fill="FFFFFF"/>
          <w:lang w:val="en-US"/>
        </w:rPr>
        <w:t xml:space="preserve">Foreign debt is </w:t>
      </w:r>
      <w:r w:rsidR="00F14D05" w:rsidRPr="00620367">
        <w:rPr>
          <w:rFonts w:ascii="Calibri" w:hAnsi="Calibri" w:cs="Arial"/>
          <w:color w:val="333333"/>
          <w:shd w:val="clear" w:color="auto" w:fill="FFFFFF"/>
          <w:lang w:val="en-US"/>
        </w:rPr>
        <w:t>2</w:t>
      </w:r>
      <w:r w:rsidRPr="00620367">
        <w:rPr>
          <w:rFonts w:ascii="Calibri" w:hAnsi="Calibri" w:cs="Arial"/>
          <w:color w:val="333333"/>
          <w:shd w:val="clear" w:color="auto" w:fill="FFFFFF"/>
          <w:lang w:val="en-US"/>
        </w:rPr>
        <w:t>,</w:t>
      </w:r>
      <w:r w:rsidR="00F14D05" w:rsidRPr="00620367">
        <w:rPr>
          <w:rFonts w:ascii="Calibri" w:hAnsi="Calibri" w:cs="Arial"/>
          <w:color w:val="333333"/>
          <w:shd w:val="clear" w:color="auto" w:fill="FFFFFF"/>
          <w:lang w:val="en-US"/>
        </w:rPr>
        <w:t>058</w:t>
      </w:r>
      <w:r w:rsidRPr="00620367">
        <w:rPr>
          <w:rFonts w:ascii="Calibri" w:hAnsi="Calibri" w:cs="Arial"/>
          <w:color w:val="333333"/>
          <w:shd w:val="clear" w:color="auto" w:fill="FFFFFF"/>
          <w:lang w:val="en-US"/>
        </w:rPr>
        <w:t>.</w:t>
      </w:r>
      <w:r w:rsidR="00F14D05" w:rsidRPr="00620367">
        <w:rPr>
          <w:rFonts w:ascii="Calibri" w:hAnsi="Calibri" w:cs="Arial"/>
          <w:color w:val="333333"/>
          <w:shd w:val="clear" w:color="auto" w:fill="FFFFFF"/>
          <w:lang w:val="en-US"/>
        </w:rPr>
        <w:t>96 mil</w:t>
      </w:r>
      <w:r w:rsidRPr="00620367">
        <w:rPr>
          <w:rFonts w:ascii="Calibri" w:hAnsi="Calibri" w:cs="Arial"/>
          <w:color w:val="333333"/>
          <w:shd w:val="clear" w:color="auto" w:fill="FFFFFF"/>
          <w:lang w:val="en-US"/>
        </w:rPr>
        <w:t xml:space="preserve">lion </w:t>
      </w:r>
      <w:r w:rsidR="00F14D05" w:rsidRPr="00620367">
        <w:rPr>
          <w:rFonts w:ascii="Calibri" w:hAnsi="Calibri" w:cs="Arial"/>
          <w:color w:val="333333"/>
          <w:shd w:val="clear" w:color="auto" w:fill="FFFFFF"/>
          <w:lang w:val="en-US"/>
        </w:rPr>
        <w:t xml:space="preserve">€, </w:t>
      </w:r>
      <w:r w:rsidRPr="00620367">
        <w:rPr>
          <w:rFonts w:ascii="Calibri" w:hAnsi="Calibri" w:cs="Arial"/>
          <w:color w:val="333333"/>
          <w:shd w:val="clear" w:color="auto" w:fill="FFFFFF"/>
          <w:lang w:val="en-US"/>
        </w:rPr>
        <w:t xml:space="preserve">internal debt is </w:t>
      </w:r>
      <w:r w:rsidR="00F14D05" w:rsidRPr="00620367">
        <w:rPr>
          <w:rFonts w:ascii="Calibri" w:hAnsi="Calibri" w:cs="Arial"/>
          <w:color w:val="333333"/>
          <w:shd w:val="clear" w:color="auto" w:fill="FFFFFF"/>
          <w:lang w:val="en-US"/>
        </w:rPr>
        <w:t>431</w:t>
      </w:r>
      <w:r w:rsidRPr="00620367">
        <w:rPr>
          <w:rFonts w:ascii="Calibri" w:hAnsi="Calibri" w:cs="Arial"/>
          <w:color w:val="333333"/>
          <w:shd w:val="clear" w:color="auto" w:fill="FFFFFF"/>
          <w:lang w:val="en-US"/>
        </w:rPr>
        <w:t>.</w:t>
      </w:r>
      <w:r w:rsidR="00F14D05" w:rsidRPr="00620367">
        <w:rPr>
          <w:rFonts w:ascii="Calibri" w:hAnsi="Calibri" w:cs="Arial"/>
          <w:color w:val="333333"/>
          <w:shd w:val="clear" w:color="auto" w:fill="FFFFFF"/>
          <w:lang w:val="en-US"/>
        </w:rPr>
        <w:t>35 mil</w:t>
      </w:r>
      <w:r w:rsidRPr="00620367">
        <w:rPr>
          <w:rFonts w:ascii="Calibri" w:hAnsi="Calibri" w:cs="Arial"/>
          <w:color w:val="333333"/>
          <w:shd w:val="clear" w:color="auto" w:fill="FFFFFF"/>
          <w:lang w:val="en-US"/>
        </w:rPr>
        <w:t xml:space="preserve">lion </w:t>
      </w:r>
      <w:r w:rsidR="00F14D05" w:rsidRPr="00620367">
        <w:rPr>
          <w:rFonts w:ascii="Calibri" w:hAnsi="Calibri" w:cs="Arial"/>
          <w:color w:val="333333"/>
          <w:shd w:val="clear" w:color="auto" w:fill="FFFFFF"/>
          <w:lang w:val="en-US"/>
        </w:rPr>
        <w:t>€</w:t>
      </w:r>
      <w:r w:rsidRPr="00620367">
        <w:rPr>
          <w:rFonts w:ascii="Calibri" w:hAnsi="Calibri" w:cs="Arial"/>
          <w:color w:val="333333"/>
          <w:shd w:val="clear" w:color="auto" w:fill="FFFFFF"/>
          <w:lang w:val="en-US"/>
        </w:rPr>
        <w:t xml:space="preserve">, a deposits </w:t>
      </w:r>
      <w:r w:rsidR="00F14D05" w:rsidRPr="00620367">
        <w:rPr>
          <w:rFonts w:ascii="Calibri" w:hAnsi="Calibri" w:cs="Arial"/>
          <w:color w:val="333333"/>
          <w:shd w:val="clear" w:color="auto" w:fill="FFFFFF"/>
          <w:lang w:val="en-US"/>
        </w:rPr>
        <w:t>94</w:t>
      </w:r>
      <w:r w:rsidRPr="00620367">
        <w:rPr>
          <w:rFonts w:ascii="Calibri" w:hAnsi="Calibri" w:cs="Arial"/>
          <w:color w:val="333333"/>
          <w:shd w:val="clear" w:color="auto" w:fill="FFFFFF"/>
          <w:lang w:val="en-US"/>
        </w:rPr>
        <w:t>.</w:t>
      </w:r>
      <w:r w:rsidR="00F14D05" w:rsidRPr="00620367">
        <w:rPr>
          <w:rFonts w:ascii="Calibri" w:hAnsi="Calibri" w:cs="Arial"/>
          <w:color w:val="333333"/>
          <w:shd w:val="clear" w:color="auto" w:fill="FFFFFF"/>
          <w:lang w:val="en-US"/>
        </w:rPr>
        <w:t>12 mil</w:t>
      </w:r>
      <w:r w:rsidRPr="00620367">
        <w:rPr>
          <w:rFonts w:ascii="Calibri" w:hAnsi="Calibri" w:cs="Arial"/>
          <w:color w:val="333333"/>
          <w:shd w:val="clear" w:color="auto" w:fill="FFFFFF"/>
          <w:lang w:val="en-US"/>
        </w:rPr>
        <w:t xml:space="preserve">lion </w:t>
      </w:r>
      <w:r w:rsidR="00F14D05" w:rsidRPr="00620367">
        <w:rPr>
          <w:rFonts w:ascii="Calibri" w:hAnsi="Calibri" w:cs="Arial"/>
          <w:color w:val="333333"/>
          <w:shd w:val="clear" w:color="auto" w:fill="FFFFFF"/>
          <w:lang w:val="en-US"/>
        </w:rPr>
        <w:t>€. Net</w:t>
      </w:r>
      <w:r w:rsidRPr="00620367">
        <w:rPr>
          <w:rFonts w:ascii="Calibri" w:hAnsi="Calibri" w:cs="Arial"/>
          <w:color w:val="333333"/>
          <w:shd w:val="clear" w:color="auto" w:fill="FFFFFF"/>
          <w:lang w:val="en-US"/>
        </w:rPr>
        <w:t xml:space="preserve"> </w:t>
      </w:r>
      <w:proofErr w:type="spellStart"/>
      <w:r w:rsidRPr="00620367">
        <w:rPr>
          <w:rFonts w:ascii="Calibri" w:hAnsi="Calibri" w:cs="Arial"/>
          <w:color w:val="333333"/>
          <w:shd w:val="clear" w:color="auto" w:fill="FFFFFF"/>
          <w:lang w:val="en-US"/>
        </w:rPr>
        <w:t>pubic</w:t>
      </w:r>
      <w:proofErr w:type="spellEnd"/>
      <w:r w:rsidRPr="00620367">
        <w:rPr>
          <w:rFonts w:ascii="Calibri" w:hAnsi="Calibri" w:cs="Arial"/>
          <w:color w:val="333333"/>
          <w:shd w:val="clear" w:color="auto" w:fill="FFFFFF"/>
          <w:lang w:val="en-US"/>
        </w:rPr>
        <w:t xml:space="preserve"> debt at the end of </w:t>
      </w:r>
      <w:r w:rsidR="00F14D05" w:rsidRPr="00620367">
        <w:rPr>
          <w:rFonts w:ascii="Calibri" w:hAnsi="Calibri" w:cs="Arial"/>
          <w:color w:val="333333"/>
          <w:shd w:val="clear" w:color="auto" w:fill="FFFFFF"/>
          <w:lang w:val="en-US"/>
        </w:rPr>
        <w:t>2016</w:t>
      </w:r>
      <w:r w:rsidRPr="00620367">
        <w:rPr>
          <w:rFonts w:ascii="Calibri" w:hAnsi="Calibri" w:cs="Arial"/>
          <w:color w:val="333333"/>
          <w:shd w:val="clear" w:color="auto" w:fill="FFFFFF"/>
          <w:lang w:val="en-US"/>
        </w:rPr>
        <w:t xml:space="preserve">, considering the deposits </w:t>
      </w:r>
      <w:r w:rsidR="00F14D05" w:rsidRPr="00620367">
        <w:rPr>
          <w:rFonts w:ascii="Calibri" w:hAnsi="Calibri" w:cs="Arial"/>
          <w:color w:val="333333"/>
          <w:shd w:val="clear" w:color="auto" w:fill="FFFFFF"/>
          <w:lang w:val="en-US"/>
        </w:rPr>
        <w:t>(47</w:t>
      </w:r>
      <w:r w:rsidRPr="00620367">
        <w:rPr>
          <w:rFonts w:ascii="Calibri" w:hAnsi="Calibri" w:cs="Arial"/>
          <w:color w:val="333333"/>
          <w:shd w:val="clear" w:color="auto" w:fill="FFFFFF"/>
          <w:lang w:val="en-US"/>
        </w:rPr>
        <w:t>.</w:t>
      </w:r>
      <w:r w:rsidR="00F14D05" w:rsidRPr="00620367">
        <w:rPr>
          <w:rFonts w:ascii="Calibri" w:hAnsi="Calibri" w:cs="Arial"/>
          <w:color w:val="333333"/>
          <w:shd w:val="clear" w:color="auto" w:fill="FFFFFF"/>
          <w:lang w:val="en-US"/>
        </w:rPr>
        <w:t>36 mil</w:t>
      </w:r>
      <w:r w:rsidRPr="00620367">
        <w:rPr>
          <w:rFonts w:ascii="Calibri" w:hAnsi="Calibri" w:cs="Arial"/>
          <w:color w:val="333333"/>
          <w:shd w:val="clear" w:color="auto" w:fill="FFFFFF"/>
          <w:lang w:val="en-US"/>
        </w:rPr>
        <w:t xml:space="preserve">lion </w:t>
      </w:r>
      <w:r w:rsidR="00F14D05" w:rsidRPr="00620367">
        <w:rPr>
          <w:rFonts w:ascii="Calibri" w:hAnsi="Calibri" w:cs="Arial"/>
          <w:color w:val="333333"/>
          <w:shd w:val="clear" w:color="auto" w:fill="FFFFFF"/>
          <w:lang w:val="en-US"/>
        </w:rPr>
        <w:t xml:space="preserve">€) </w:t>
      </w:r>
      <w:r w:rsidRPr="00620367">
        <w:rPr>
          <w:rFonts w:ascii="Calibri" w:hAnsi="Calibri" w:cs="Arial"/>
          <w:color w:val="333333"/>
          <w:shd w:val="clear" w:color="auto" w:fill="FFFFFF"/>
          <w:lang w:val="en-US"/>
        </w:rPr>
        <w:t xml:space="preserve">was </w:t>
      </w:r>
      <w:r w:rsidR="00F14D05" w:rsidRPr="00620367">
        <w:rPr>
          <w:rFonts w:ascii="Calibri" w:hAnsi="Calibri" w:cs="Arial"/>
          <w:color w:val="333333"/>
          <w:shd w:val="clear" w:color="auto" w:fill="FFFFFF"/>
          <w:lang w:val="en-US"/>
        </w:rPr>
        <w:t>2</w:t>
      </w:r>
      <w:r w:rsidRPr="00620367">
        <w:rPr>
          <w:rFonts w:ascii="Calibri" w:hAnsi="Calibri" w:cs="Arial"/>
          <w:color w:val="333333"/>
          <w:shd w:val="clear" w:color="auto" w:fill="FFFFFF"/>
          <w:lang w:val="en-US"/>
        </w:rPr>
        <w:t>,</w:t>
      </w:r>
      <w:r w:rsidR="00F14D05" w:rsidRPr="00620367">
        <w:rPr>
          <w:rFonts w:ascii="Calibri" w:hAnsi="Calibri" w:cs="Arial"/>
          <w:color w:val="333333"/>
          <w:shd w:val="clear" w:color="auto" w:fill="FFFFFF"/>
          <w:lang w:val="en-US"/>
        </w:rPr>
        <w:t>498</w:t>
      </w:r>
      <w:r w:rsidRPr="00620367">
        <w:rPr>
          <w:rFonts w:ascii="Calibri" w:hAnsi="Calibri" w:cs="Arial"/>
          <w:color w:val="333333"/>
          <w:shd w:val="clear" w:color="auto" w:fill="FFFFFF"/>
          <w:lang w:val="en-US"/>
        </w:rPr>
        <w:t>.</w:t>
      </w:r>
      <w:r w:rsidR="00F14D05" w:rsidRPr="00620367">
        <w:rPr>
          <w:rFonts w:ascii="Calibri" w:hAnsi="Calibri" w:cs="Arial"/>
          <w:color w:val="333333"/>
          <w:shd w:val="clear" w:color="auto" w:fill="FFFFFF"/>
          <w:lang w:val="en-US"/>
        </w:rPr>
        <w:t>69 mil</w:t>
      </w:r>
      <w:r w:rsidRPr="00620367">
        <w:rPr>
          <w:rFonts w:ascii="Calibri" w:hAnsi="Calibri" w:cs="Arial"/>
          <w:color w:val="333333"/>
          <w:shd w:val="clear" w:color="auto" w:fill="FFFFFF"/>
          <w:lang w:val="en-US"/>
        </w:rPr>
        <w:t xml:space="preserve">lion </w:t>
      </w:r>
      <w:r w:rsidR="00F14D05" w:rsidRPr="00620367">
        <w:rPr>
          <w:rFonts w:ascii="Calibri" w:hAnsi="Calibri" w:cs="Arial"/>
          <w:color w:val="333333"/>
          <w:shd w:val="clear" w:color="auto" w:fill="FFFFFF"/>
          <w:lang w:val="en-US"/>
        </w:rPr>
        <w:t xml:space="preserve">€ </w:t>
      </w:r>
      <w:r w:rsidRPr="00620367">
        <w:rPr>
          <w:rFonts w:ascii="Calibri" w:hAnsi="Calibri" w:cs="Arial"/>
          <w:color w:val="333333"/>
          <w:shd w:val="clear" w:color="auto" w:fill="FFFFFF"/>
          <w:lang w:val="en-US"/>
        </w:rPr>
        <w:t xml:space="preserve">or </w:t>
      </w:r>
      <w:r w:rsidR="00F14D05" w:rsidRPr="00620367">
        <w:rPr>
          <w:rFonts w:ascii="Calibri" w:hAnsi="Calibri" w:cs="Arial"/>
          <w:color w:val="333333"/>
          <w:shd w:val="clear" w:color="auto" w:fill="FFFFFF"/>
          <w:lang w:val="en-US"/>
        </w:rPr>
        <w:t>66</w:t>
      </w:r>
      <w:r w:rsidRPr="00620367">
        <w:rPr>
          <w:rFonts w:ascii="Calibri" w:hAnsi="Calibri" w:cs="Arial"/>
          <w:color w:val="333333"/>
          <w:shd w:val="clear" w:color="auto" w:fill="FFFFFF"/>
          <w:lang w:val="en-US"/>
        </w:rPr>
        <w:t>.</w:t>
      </w:r>
      <w:r w:rsidR="00F14D05" w:rsidRPr="00620367">
        <w:rPr>
          <w:rFonts w:ascii="Calibri" w:hAnsi="Calibri" w:cs="Arial"/>
          <w:color w:val="333333"/>
          <w:shd w:val="clear" w:color="auto" w:fill="FFFFFF"/>
          <w:lang w:val="en-US"/>
        </w:rPr>
        <w:t xml:space="preserve">23% </w:t>
      </w:r>
      <w:r w:rsidRPr="00620367">
        <w:rPr>
          <w:rFonts w:ascii="Calibri" w:hAnsi="Calibri" w:cs="Arial"/>
          <w:color w:val="333333"/>
          <w:shd w:val="clear" w:color="auto" w:fill="FFFFFF"/>
          <w:lang w:val="en-US"/>
        </w:rPr>
        <w:t>of G</w:t>
      </w:r>
      <w:r w:rsidR="00F14D05" w:rsidRPr="00620367">
        <w:rPr>
          <w:rFonts w:ascii="Calibri" w:hAnsi="Calibri" w:cs="Arial"/>
          <w:color w:val="333333"/>
          <w:shd w:val="clear" w:color="auto" w:fill="FFFFFF"/>
          <w:lang w:val="en-US"/>
        </w:rPr>
        <w:t>DP.</w:t>
      </w:r>
      <w:r w:rsidR="00AF5D07" w:rsidRPr="00620367">
        <w:rPr>
          <w:rFonts w:ascii="Calibri" w:hAnsi="Calibri" w:cs="Arial"/>
          <w:color w:val="333333"/>
          <w:shd w:val="clear" w:color="auto" w:fill="FFFFFF"/>
          <w:lang w:val="en-US"/>
        </w:rPr>
        <w:t xml:space="preserve"> </w:t>
      </w:r>
      <w:r w:rsidRPr="00620367">
        <w:rPr>
          <w:rFonts w:ascii="Calibri" w:hAnsi="Calibri" w:cs="Arial"/>
          <w:b/>
          <w:color w:val="333333"/>
          <w:shd w:val="clear" w:color="auto" w:fill="FFFFFF"/>
          <w:lang w:val="en-US"/>
        </w:rPr>
        <w:t xml:space="preserve">According to the projections, public debt in </w:t>
      </w:r>
      <w:r w:rsidR="006C4204" w:rsidRPr="00620367">
        <w:rPr>
          <w:rFonts w:ascii="Calibri" w:hAnsi="Calibri" w:cs="Arial"/>
          <w:b/>
          <w:color w:val="333333"/>
          <w:shd w:val="clear" w:color="auto" w:fill="FFFFFF"/>
          <w:lang w:val="en-US"/>
        </w:rPr>
        <w:t>2018</w:t>
      </w:r>
      <w:r w:rsidRPr="00620367">
        <w:rPr>
          <w:rFonts w:ascii="Calibri" w:hAnsi="Calibri" w:cs="Arial"/>
          <w:b/>
          <w:color w:val="333333"/>
          <w:shd w:val="clear" w:color="auto" w:fill="FFFFFF"/>
          <w:lang w:val="en-US"/>
        </w:rPr>
        <w:t xml:space="preserve"> will go up to </w:t>
      </w:r>
      <w:r w:rsidR="006C4204" w:rsidRPr="00620367">
        <w:rPr>
          <w:rFonts w:ascii="Calibri" w:hAnsi="Calibri" w:cs="Arial"/>
          <w:b/>
          <w:color w:val="333333"/>
          <w:shd w:val="clear" w:color="auto" w:fill="FFFFFF"/>
          <w:lang w:val="en-US"/>
        </w:rPr>
        <w:t xml:space="preserve">74%, </w:t>
      </w:r>
      <w:r w:rsidRPr="00620367">
        <w:rPr>
          <w:rFonts w:ascii="Calibri" w:hAnsi="Calibri" w:cs="Arial"/>
          <w:b/>
          <w:color w:val="333333"/>
          <w:shd w:val="clear" w:color="auto" w:fill="FFFFFF"/>
          <w:lang w:val="en-US"/>
        </w:rPr>
        <w:t xml:space="preserve">and in </w:t>
      </w:r>
      <w:r w:rsidR="006C4204" w:rsidRPr="00620367">
        <w:rPr>
          <w:rFonts w:ascii="Calibri" w:hAnsi="Calibri" w:cs="Arial"/>
          <w:b/>
          <w:color w:val="333333"/>
          <w:shd w:val="clear" w:color="auto" w:fill="FFFFFF"/>
          <w:lang w:val="en-US"/>
        </w:rPr>
        <w:t>2019</w:t>
      </w:r>
      <w:r w:rsidRPr="00620367">
        <w:rPr>
          <w:rFonts w:ascii="Calibri" w:hAnsi="Calibri" w:cs="Arial"/>
          <w:b/>
          <w:color w:val="333333"/>
          <w:shd w:val="clear" w:color="auto" w:fill="FFFFFF"/>
          <w:lang w:val="en-US"/>
        </w:rPr>
        <w:t xml:space="preserve"> it will slowly decline</w:t>
      </w:r>
      <w:r w:rsidR="006C4204" w:rsidRPr="00620367">
        <w:rPr>
          <w:rFonts w:ascii="Calibri" w:hAnsi="Calibri" w:cs="Arial"/>
          <w:b/>
          <w:color w:val="333333"/>
          <w:shd w:val="clear" w:color="auto" w:fill="FFFFFF"/>
          <w:lang w:val="en-US"/>
        </w:rPr>
        <w:t>.</w:t>
      </w:r>
    </w:p>
    <w:p w:rsidR="00F14D05" w:rsidRPr="00620367" w:rsidRDefault="00F14D05" w:rsidP="00CE3EED">
      <w:pPr>
        <w:jc w:val="both"/>
        <w:rPr>
          <w:rFonts w:ascii="Calibri" w:hAnsi="Calibri" w:cs="Arial"/>
          <w:color w:val="333333"/>
          <w:shd w:val="clear" w:color="auto" w:fill="FFFFFF"/>
          <w:lang w:val="en-US"/>
        </w:rPr>
      </w:pPr>
      <w:r w:rsidRPr="00620367">
        <w:rPr>
          <w:rFonts w:ascii="Calibri" w:hAnsi="Calibri" w:cs="Arial"/>
          <w:color w:val="333333"/>
          <w:shd w:val="clear" w:color="auto" w:fill="FFFFFF"/>
          <w:lang w:val="en-US"/>
        </w:rPr>
        <w:lastRenderedPageBreak/>
        <w:t>Institu</w:t>
      </w:r>
      <w:r w:rsidR="004C7203" w:rsidRPr="00620367">
        <w:rPr>
          <w:rFonts w:ascii="Calibri" w:hAnsi="Calibri" w:cs="Arial"/>
          <w:color w:val="333333"/>
          <w:shd w:val="clear" w:color="auto" w:fill="FFFFFF"/>
          <w:lang w:val="en-US"/>
        </w:rPr>
        <w:t>tions engaged in control of spending of budgetary funds and sanctioning of those responsible for abuse of budgetary funds are State Audit Institution and State Prosecutor’s Office</w:t>
      </w:r>
      <w:r w:rsidRPr="00620367">
        <w:rPr>
          <w:rFonts w:ascii="Calibri" w:hAnsi="Calibri" w:cs="Arial"/>
          <w:color w:val="333333"/>
          <w:shd w:val="clear" w:color="auto" w:fill="FFFFFF"/>
          <w:lang w:val="en-US"/>
        </w:rPr>
        <w:t xml:space="preserve">. </w:t>
      </w:r>
      <w:r w:rsidR="004C7203" w:rsidRPr="00620367">
        <w:rPr>
          <w:rFonts w:ascii="Calibri" w:hAnsi="Calibri" w:cs="Arial"/>
          <w:color w:val="333333"/>
          <w:shd w:val="clear" w:color="auto" w:fill="FFFFFF"/>
          <w:lang w:val="en-US"/>
        </w:rPr>
        <w:t>The practice has show that the cooperation of these two institutions does not produce desired results in case of abuse of budgetary funds and fight against corruption</w:t>
      </w:r>
      <w:r w:rsidRPr="00620367">
        <w:rPr>
          <w:rFonts w:ascii="Calibri" w:hAnsi="Calibri" w:cs="Arial"/>
          <w:color w:val="333333"/>
          <w:shd w:val="clear" w:color="auto" w:fill="FFFFFF"/>
          <w:lang w:val="en-US"/>
        </w:rPr>
        <w:t>.</w:t>
      </w:r>
    </w:p>
    <w:p w:rsidR="00F14D05" w:rsidRPr="00620367" w:rsidRDefault="004C7203" w:rsidP="00CE3EED">
      <w:pPr>
        <w:jc w:val="both"/>
        <w:rPr>
          <w:rFonts w:ascii="Calibri" w:hAnsi="Calibri" w:cs="Arial"/>
          <w:color w:val="333333"/>
          <w:shd w:val="clear" w:color="auto" w:fill="FFFFFF"/>
          <w:lang w:val="en-US"/>
        </w:rPr>
      </w:pPr>
      <w:r w:rsidRPr="00620367">
        <w:rPr>
          <w:rFonts w:ascii="Calibri" w:hAnsi="Calibri" w:cs="Arial"/>
          <w:color w:val="333333"/>
          <w:shd w:val="clear" w:color="auto" w:fill="FFFFFF"/>
          <w:lang w:val="en-US"/>
        </w:rPr>
        <w:t xml:space="preserve">If </w:t>
      </w:r>
      <w:r w:rsidR="00620367" w:rsidRPr="00620367">
        <w:rPr>
          <w:rFonts w:ascii="Calibri" w:hAnsi="Calibri" w:cs="Arial"/>
          <w:color w:val="333333"/>
          <w:shd w:val="clear" w:color="auto" w:fill="FFFFFF"/>
          <w:lang w:val="en-US"/>
        </w:rPr>
        <w:t xml:space="preserve">the </w:t>
      </w:r>
      <w:r w:rsidRPr="00620367">
        <w:rPr>
          <w:rFonts w:ascii="Calibri" w:hAnsi="Calibri" w:cs="Arial"/>
          <w:color w:val="333333"/>
          <w:shd w:val="clear" w:color="auto" w:fill="FFFFFF"/>
          <w:lang w:val="en-US"/>
        </w:rPr>
        <w:t>State Audit Institution determines during the audit that there is a suspicion on crime, it has to file a criminal report</w:t>
      </w:r>
      <w:r w:rsidR="00F14D05" w:rsidRPr="00620367">
        <w:rPr>
          <w:rFonts w:ascii="Calibri" w:hAnsi="Calibri" w:cs="Arial"/>
          <w:color w:val="333333"/>
          <w:shd w:val="clear" w:color="auto" w:fill="FFFFFF"/>
          <w:lang w:val="en-US"/>
        </w:rPr>
        <w:t xml:space="preserve">. </w:t>
      </w:r>
      <w:r w:rsidRPr="00620367">
        <w:rPr>
          <w:rFonts w:ascii="Calibri" w:hAnsi="Calibri" w:cs="Arial"/>
          <w:color w:val="333333"/>
          <w:shd w:val="clear" w:color="auto" w:fill="FFFFFF"/>
          <w:lang w:val="en-US"/>
        </w:rPr>
        <w:t xml:space="preserve">Criminal Code of Montenegro, in the chapter on offenses against official duty </w:t>
      </w:r>
      <w:r w:rsidR="00F14D05" w:rsidRPr="00620367">
        <w:rPr>
          <w:rFonts w:ascii="Calibri" w:hAnsi="Calibri" w:cs="Arial"/>
          <w:color w:val="333333"/>
          <w:shd w:val="clear" w:color="auto" w:fill="FFFFFF"/>
          <w:lang w:val="en-US"/>
        </w:rPr>
        <w:t>(</w:t>
      </w:r>
      <w:r w:rsidRPr="00620367">
        <w:rPr>
          <w:rFonts w:ascii="Calibri" w:hAnsi="Calibri" w:cs="Arial"/>
          <w:color w:val="333333"/>
          <w:shd w:val="clear" w:color="auto" w:fill="FFFFFF"/>
          <w:lang w:val="en-US"/>
        </w:rPr>
        <w:t xml:space="preserve">Articles </w:t>
      </w:r>
      <w:r w:rsidR="00F14D05" w:rsidRPr="00620367">
        <w:rPr>
          <w:rFonts w:ascii="Calibri" w:hAnsi="Calibri" w:cs="Arial"/>
          <w:color w:val="333333"/>
          <w:shd w:val="clear" w:color="auto" w:fill="FFFFFF"/>
          <w:lang w:val="en-US"/>
        </w:rPr>
        <w:t xml:space="preserve">416-426) </w:t>
      </w:r>
      <w:r w:rsidRPr="00620367">
        <w:rPr>
          <w:rFonts w:ascii="Calibri" w:hAnsi="Calibri" w:cs="Arial"/>
          <w:color w:val="333333"/>
          <w:shd w:val="clear" w:color="auto" w:fill="FFFFFF"/>
          <w:lang w:val="en-US"/>
        </w:rPr>
        <w:t xml:space="preserve">does not acknowledge this offense </w:t>
      </w:r>
      <w:r w:rsidR="00F14D05" w:rsidRPr="00620367">
        <w:rPr>
          <w:rFonts w:ascii="Calibri" w:hAnsi="Calibri" w:cs="Arial"/>
          <w:color w:val="333333"/>
          <w:shd w:val="clear" w:color="auto" w:fill="FFFFFF"/>
          <w:lang w:val="en-US"/>
        </w:rPr>
        <w:t>(</w:t>
      </w:r>
      <w:r w:rsidRPr="00620367">
        <w:rPr>
          <w:rFonts w:ascii="Calibri" w:hAnsi="Calibri" w:cs="Arial"/>
          <w:color w:val="333333"/>
          <w:shd w:val="clear" w:color="auto" w:fill="FFFFFF"/>
          <w:lang w:val="en-US"/>
        </w:rPr>
        <w:t>“negligent spending of budgetary funds</w:t>
      </w:r>
      <w:r w:rsidR="009D4A60" w:rsidRPr="00620367">
        <w:rPr>
          <w:rFonts w:ascii="Calibri" w:hAnsi="Calibri" w:cs="Arial"/>
          <w:color w:val="333333"/>
          <w:shd w:val="clear" w:color="auto" w:fill="FFFFFF"/>
          <w:lang w:val="en-US"/>
        </w:rPr>
        <w:t>”</w:t>
      </w:r>
      <w:r w:rsidR="00F14D05" w:rsidRPr="00620367">
        <w:rPr>
          <w:rFonts w:ascii="Calibri" w:hAnsi="Calibri" w:cs="Arial"/>
          <w:color w:val="333333"/>
          <w:shd w:val="clear" w:color="auto" w:fill="FFFFFF"/>
          <w:lang w:val="en-US"/>
        </w:rPr>
        <w:t>)</w:t>
      </w:r>
      <w:r w:rsidR="009D4A60" w:rsidRPr="00620367">
        <w:rPr>
          <w:rFonts w:ascii="Calibri" w:hAnsi="Calibri" w:cs="Arial"/>
          <w:color w:val="333333"/>
          <w:shd w:val="clear" w:color="auto" w:fill="FFFFFF"/>
          <w:lang w:val="en-US"/>
        </w:rPr>
        <w:t>,</w:t>
      </w:r>
      <w:r w:rsidR="00F14D05" w:rsidRPr="00620367">
        <w:rPr>
          <w:rFonts w:ascii="Calibri" w:hAnsi="Calibri" w:cs="Arial"/>
          <w:color w:val="333333"/>
          <w:shd w:val="clear" w:color="auto" w:fill="FFFFFF"/>
          <w:lang w:val="en-US"/>
        </w:rPr>
        <w:t xml:space="preserve"> </w:t>
      </w:r>
      <w:r w:rsidR="009D4A60" w:rsidRPr="00620367">
        <w:rPr>
          <w:rFonts w:ascii="Calibri" w:hAnsi="Calibri" w:cs="Arial"/>
          <w:color w:val="333333"/>
          <w:shd w:val="clear" w:color="auto" w:fill="FFFFFF"/>
          <w:lang w:val="en-US"/>
        </w:rPr>
        <w:t>which reduces the space for sanctioning abuses and irregularities determined during the audit</w:t>
      </w:r>
      <w:r w:rsidR="00F14D05" w:rsidRPr="00620367">
        <w:rPr>
          <w:rFonts w:ascii="Calibri" w:hAnsi="Calibri" w:cs="Arial"/>
          <w:color w:val="333333"/>
          <w:shd w:val="clear" w:color="auto" w:fill="FFFFFF"/>
          <w:lang w:val="en-US"/>
        </w:rPr>
        <w:t xml:space="preserve">. </w:t>
      </w:r>
      <w:r w:rsidR="009D4A60" w:rsidRPr="00620367">
        <w:rPr>
          <w:rFonts w:ascii="Calibri" w:hAnsi="Calibri" w:cs="Arial"/>
          <w:color w:val="333333"/>
          <w:shd w:val="clear" w:color="auto" w:fill="FFFFFF"/>
          <w:lang w:val="en-US"/>
        </w:rPr>
        <w:t>There is no accountability on the part of administrative authorities for failure to provide information, even if it is treated by State Audit Institution as an offense</w:t>
      </w:r>
      <w:r w:rsidR="00F14D05" w:rsidRPr="00620367">
        <w:rPr>
          <w:rFonts w:ascii="Calibri" w:hAnsi="Calibri" w:cs="Arial"/>
          <w:color w:val="333333"/>
          <w:shd w:val="clear" w:color="auto" w:fill="FFFFFF"/>
          <w:lang w:val="en-US"/>
        </w:rPr>
        <w:t>.</w:t>
      </w:r>
    </w:p>
    <w:p w:rsidR="00F14D05" w:rsidRPr="00620367" w:rsidRDefault="00B50150" w:rsidP="00CE3EED">
      <w:pPr>
        <w:jc w:val="both"/>
        <w:rPr>
          <w:rFonts w:ascii="Calibri" w:hAnsi="Calibri"/>
          <w:lang w:val="en-US"/>
        </w:rPr>
      </w:pPr>
      <w:r w:rsidRPr="00620367">
        <w:rPr>
          <w:rFonts w:ascii="Calibri" w:hAnsi="Calibri"/>
          <w:lang w:val="en-US"/>
        </w:rPr>
        <w:t>The experience from the countries in the region</w:t>
      </w:r>
      <w:r w:rsidR="00F14D05" w:rsidRPr="00620367">
        <w:rPr>
          <w:rFonts w:ascii="Calibri" w:hAnsi="Calibri"/>
          <w:lang w:val="en-US"/>
        </w:rPr>
        <w:t xml:space="preserve">, </w:t>
      </w:r>
      <w:r w:rsidRPr="00620367">
        <w:rPr>
          <w:rFonts w:ascii="Calibri" w:hAnsi="Calibri"/>
          <w:lang w:val="en-US"/>
        </w:rPr>
        <w:t>as well as EU MS provides a broad range of mechanisms and activities that can improve the cooperation between the State Audit Institution and Prosecutor’s Offices starting from special agreements and frameworks for cooperation, setting up of special teams, to the regular bringing cases for determining misdemeanor or criminal liability</w:t>
      </w:r>
      <w:r w:rsidR="00F14D05" w:rsidRPr="00620367">
        <w:rPr>
          <w:rFonts w:ascii="Calibri" w:hAnsi="Calibri"/>
          <w:lang w:val="en-US"/>
        </w:rPr>
        <w:t>.</w:t>
      </w:r>
    </w:p>
    <w:p w:rsidR="00F14D05" w:rsidRPr="00620367" w:rsidRDefault="0002394D" w:rsidP="00CE3EED">
      <w:pPr>
        <w:jc w:val="both"/>
        <w:rPr>
          <w:rFonts w:ascii="Calibri" w:hAnsi="Calibri"/>
          <w:b/>
          <w:lang w:val="en-US"/>
        </w:rPr>
      </w:pPr>
      <w:r w:rsidRPr="00620367">
        <w:rPr>
          <w:rFonts w:ascii="Calibri" w:hAnsi="Calibri"/>
          <w:b/>
          <w:lang w:val="en-US"/>
        </w:rPr>
        <w:t>Na</w:t>
      </w:r>
      <w:r w:rsidR="00B50150" w:rsidRPr="00620367">
        <w:rPr>
          <w:rFonts w:ascii="Calibri" w:hAnsi="Calibri"/>
          <w:b/>
          <w:lang w:val="en-US"/>
        </w:rPr>
        <w:t>t</w:t>
      </w:r>
      <w:r w:rsidRPr="00620367">
        <w:rPr>
          <w:rFonts w:ascii="Calibri" w:hAnsi="Calibri"/>
          <w:b/>
          <w:lang w:val="en-US"/>
        </w:rPr>
        <w:t>ional plan/a</w:t>
      </w:r>
      <w:r w:rsidR="00B50150" w:rsidRPr="00620367">
        <w:rPr>
          <w:rFonts w:ascii="Calibri" w:hAnsi="Calibri"/>
          <w:b/>
          <w:lang w:val="en-US"/>
        </w:rPr>
        <w:t xml:space="preserve">ction for </w:t>
      </w:r>
      <w:r w:rsidR="00531AAD" w:rsidRPr="00620367">
        <w:rPr>
          <w:rFonts w:ascii="Calibri" w:hAnsi="Calibri"/>
          <w:b/>
          <w:lang w:val="en-US"/>
        </w:rPr>
        <w:t xml:space="preserve">combating </w:t>
      </w:r>
      <w:r w:rsidR="00B50150" w:rsidRPr="00620367">
        <w:rPr>
          <w:rFonts w:ascii="Calibri" w:hAnsi="Calibri"/>
          <w:b/>
          <w:lang w:val="en-US"/>
        </w:rPr>
        <w:t>corruption</w:t>
      </w:r>
    </w:p>
    <w:p w:rsidR="004A181A" w:rsidRPr="00620367" w:rsidRDefault="00531AAD" w:rsidP="00CE3EED">
      <w:pPr>
        <w:jc w:val="both"/>
        <w:rPr>
          <w:rFonts w:ascii="Calibri" w:hAnsi="Calibri" w:cs="Arial"/>
          <w:color w:val="000000"/>
          <w:lang w:val="en-US"/>
        </w:rPr>
      </w:pPr>
      <w:r w:rsidRPr="00620367">
        <w:rPr>
          <w:rFonts w:ascii="Calibri" w:hAnsi="Calibri" w:cs="Arial"/>
          <w:color w:val="000000"/>
          <w:lang w:val="en-US"/>
        </w:rPr>
        <w:t xml:space="preserve">Based on the assessment of the EU representatives to Montenegro, Montenegro has achieved a certain level of preparation for combating corruption, once it started negotiating on Chapter </w:t>
      </w:r>
      <w:r w:rsidR="004A181A" w:rsidRPr="00620367">
        <w:rPr>
          <w:rFonts w:ascii="Calibri" w:hAnsi="Calibri" w:cs="Arial"/>
          <w:color w:val="000000"/>
          <w:lang w:val="en-US"/>
        </w:rPr>
        <w:t>23,</w:t>
      </w:r>
      <w:r w:rsidRPr="00620367">
        <w:rPr>
          <w:rFonts w:ascii="Calibri" w:hAnsi="Calibri" w:cs="Arial"/>
          <w:color w:val="000000"/>
          <w:lang w:val="en-US"/>
        </w:rPr>
        <w:t xml:space="preserve"> but it is necessary to do much more to get results in the area of investigation, conviction, and incrimination of high corruption cases</w:t>
      </w:r>
      <w:r w:rsidR="004A181A" w:rsidRPr="00620367">
        <w:rPr>
          <w:rFonts w:ascii="Calibri" w:hAnsi="Calibri" w:cs="Arial"/>
          <w:color w:val="000000"/>
          <w:lang w:val="en-US"/>
        </w:rPr>
        <w:t>.</w:t>
      </w:r>
    </w:p>
    <w:p w:rsidR="00F14D05" w:rsidRPr="00620367" w:rsidRDefault="004A181A" w:rsidP="00CE3EED">
      <w:pPr>
        <w:jc w:val="both"/>
        <w:rPr>
          <w:rFonts w:ascii="Calibri" w:hAnsi="Calibri" w:cs="Arial"/>
          <w:lang w:val="en-US"/>
        </w:rPr>
      </w:pPr>
      <w:r w:rsidRPr="00620367">
        <w:rPr>
          <w:rFonts w:ascii="Calibri" w:hAnsi="Calibri" w:cs="Arial"/>
          <w:lang w:val="en-US"/>
        </w:rPr>
        <w:t>A</w:t>
      </w:r>
      <w:r w:rsidR="00531AAD" w:rsidRPr="00620367">
        <w:rPr>
          <w:rFonts w:ascii="Calibri" w:hAnsi="Calibri" w:cs="Arial"/>
          <w:lang w:val="en-US"/>
        </w:rPr>
        <w:t xml:space="preserve">ction plan for Chapter </w:t>
      </w:r>
      <w:r w:rsidRPr="00620367">
        <w:rPr>
          <w:rFonts w:ascii="Calibri" w:hAnsi="Calibri" w:cs="Arial"/>
          <w:lang w:val="en-US"/>
        </w:rPr>
        <w:t xml:space="preserve">23 </w:t>
      </w:r>
      <w:r w:rsidR="00531AAD" w:rsidRPr="00620367">
        <w:rPr>
          <w:rFonts w:ascii="Calibri" w:hAnsi="Calibri" w:cs="Arial"/>
          <w:lang w:val="en-US"/>
        </w:rPr>
        <w:t xml:space="preserve">covers </w:t>
      </w:r>
      <w:r w:rsidRPr="00620367">
        <w:rPr>
          <w:rFonts w:ascii="Calibri" w:hAnsi="Calibri" w:cs="Arial"/>
          <w:lang w:val="en-US"/>
        </w:rPr>
        <w:t xml:space="preserve">4 </w:t>
      </w:r>
      <w:r w:rsidR="00531AAD" w:rsidRPr="00620367">
        <w:rPr>
          <w:rFonts w:ascii="Calibri" w:hAnsi="Calibri" w:cs="Arial"/>
          <w:lang w:val="en-US"/>
        </w:rPr>
        <w:t>areas</w:t>
      </w:r>
      <w:r w:rsidRPr="00620367">
        <w:rPr>
          <w:rFonts w:ascii="Calibri" w:hAnsi="Calibri" w:cs="Arial"/>
          <w:lang w:val="en-US"/>
        </w:rPr>
        <w:t xml:space="preserve">: </w:t>
      </w:r>
      <w:r w:rsidR="00531AAD" w:rsidRPr="00620367">
        <w:rPr>
          <w:rFonts w:ascii="Calibri" w:hAnsi="Calibri" w:cs="Arial"/>
          <w:lang w:val="en-US"/>
        </w:rPr>
        <w:t>judiciary, combating corruption, fundamental freedoms and cooperation with NGOs</w:t>
      </w:r>
      <w:r w:rsidRPr="00620367">
        <w:rPr>
          <w:rFonts w:ascii="Calibri" w:hAnsi="Calibri" w:cs="Arial"/>
          <w:lang w:val="en-US"/>
        </w:rPr>
        <w:t xml:space="preserve">. </w:t>
      </w:r>
      <w:r w:rsidR="00531AAD" w:rsidRPr="00620367">
        <w:rPr>
          <w:rFonts w:ascii="Calibri" w:hAnsi="Calibri" w:cs="Arial"/>
          <w:lang w:val="en-US"/>
        </w:rPr>
        <w:t xml:space="preserve">To be more successful in </w:t>
      </w:r>
      <w:r w:rsidR="0071486C" w:rsidRPr="00620367">
        <w:rPr>
          <w:rFonts w:ascii="Calibri" w:hAnsi="Calibri" w:cs="Arial"/>
          <w:lang w:val="en-US"/>
        </w:rPr>
        <w:t xml:space="preserve">reforms in </w:t>
      </w:r>
      <w:r w:rsidR="00531AAD" w:rsidRPr="00620367">
        <w:rPr>
          <w:rFonts w:ascii="Calibri" w:hAnsi="Calibri" w:cs="Arial"/>
          <w:lang w:val="en-US"/>
        </w:rPr>
        <w:t>this area, Montenegro</w:t>
      </w:r>
      <w:r w:rsidR="0071486C" w:rsidRPr="00620367">
        <w:rPr>
          <w:rFonts w:ascii="Calibri" w:hAnsi="Calibri" w:cs="Arial"/>
          <w:lang w:val="en-US"/>
        </w:rPr>
        <w:t>, in addition to full alignment of its legislation, must have measurable specific results in the area of its implementation</w:t>
      </w:r>
      <w:r w:rsidR="00DF181A" w:rsidRPr="00620367">
        <w:rPr>
          <w:rFonts w:ascii="Calibri" w:hAnsi="Calibri" w:cs="Arial"/>
          <w:lang w:val="en-US"/>
        </w:rPr>
        <w:t>.</w:t>
      </w:r>
    </w:p>
    <w:p w:rsidR="004A181A" w:rsidRPr="00620367" w:rsidRDefault="0071486C" w:rsidP="00CE3EED">
      <w:pPr>
        <w:jc w:val="both"/>
        <w:rPr>
          <w:rFonts w:ascii="Calibri" w:hAnsi="Calibri" w:cs="Arial"/>
          <w:color w:val="3A4149"/>
          <w:shd w:val="clear" w:color="auto" w:fill="FFFFFF"/>
          <w:lang w:val="en-US"/>
        </w:rPr>
      </w:pPr>
      <w:r w:rsidRPr="00620367">
        <w:rPr>
          <w:rFonts w:ascii="Calibri" w:hAnsi="Calibri" w:cs="Arial"/>
          <w:color w:val="3A4149"/>
          <w:shd w:val="clear" w:color="auto" w:fill="FFFFFF"/>
          <w:lang w:val="en-US"/>
        </w:rPr>
        <w:t xml:space="preserve">Report </w:t>
      </w:r>
      <w:r w:rsidR="004A181A" w:rsidRPr="00620367">
        <w:rPr>
          <w:rFonts w:ascii="Calibri" w:hAnsi="Calibri" w:cs="Arial"/>
          <w:color w:val="3A4149"/>
          <w:shd w:val="clear" w:color="auto" w:fill="FFFFFF"/>
          <w:lang w:val="en-US"/>
        </w:rPr>
        <w:t>(</w:t>
      </w:r>
      <w:r w:rsidR="00620367" w:rsidRPr="00620367">
        <w:rPr>
          <w:rFonts w:ascii="Calibri" w:hAnsi="Calibri" w:cs="Arial"/>
          <w:color w:val="3A4149"/>
          <w:shd w:val="clear" w:color="auto" w:fill="FFFFFF"/>
          <w:lang w:val="en-US"/>
        </w:rPr>
        <w:t xml:space="preserve">by </w:t>
      </w:r>
      <w:r w:rsidR="004A181A" w:rsidRPr="00620367">
        <w:rPr>
          <w:rFonts w:ascii="Calibri" w:hAnsi="Calibri" w:cs="Arial"/>
          <w:color w:val="3A4149"/>
          <w:shd w:val="clear" w:color="auto" w:fill="FFFFFF"/>
          <w:lang w:val="en-US"/>
        </w:rPr>
        <w:t>N</w:t>
      </w:r>
      <w:r w:rsidRPr="00620367">
        <w:rPr>
          <w:rFonts w:ascii="Calibri" w:hAnsi="Calibri" w:cs="Arial"/>
          <w:color w:val="3A4149"/>
          <w:shd w:val="clear" w:color="auto" w:fill="FFFFFF"/>
          <w:lang w:val="en-US"/>
        </w:rPr>
        <w:t>G</w:t>
      </w:r>
      <w:r w:rsidR="004A181A" w:rsidRPr="00620367">
        <w:rPr>
          <w:rFonts w:ascii="Calibri" w:hAnsi="Calibri" w:cs="Arial"/>
          <w:color w:val="3A4149"/>
          <w:shd w:val="clear" w:color="auto" w:fill="FFFFFF"/>
          <w:lang w:val="en-US"/>
        </w:rPr>
        <w:t>O) o</w:t>
      </w:r>
      <w:r w:rsidRPr="00620367">
        <w:rPr>
          <w:rFonts w:ascii="Calibri" w:hAnsi="Calibri" w:cs="Arial"/>
          <w:color w:val="3A4149"/>
          <w:shd w:val="clear" w:color="auto" w:fill="FFFFFF"/>
          <w:lang w:val="en-US"/>
        </w:rPr>
        <w:t xml:space="preserve">n the implementation of Action plan for negotiations on Chapter </w:t>
      </w:r>
      <w:r w:rsidR="004A181A" w:rsidRPr="00620367">
        <w:rPr>
          <w:rFonts w:ascii="Calibri" w:hAnsi="Calibri" w:cs="Arial"/>
          <w:color w:val="3A4149"/>
          <w:shd w:val="clear" w:color="auto" w:fill="FFFFFF"/>
          <w:lang w:val="en-US"/>
        </w:rPr>
        <w:t xml:space="preserve">23 </w:t>
      </w:r>
      <w:r w:rsidRPr="00620367">
        <w:rPr>
          <w:rFonts w:ascii="Calibri" w:hAnsi="Calibri" w:cs="Arial"/>
          <w:color w:val="3A4149"/>
          <w:shd w:val="clear" w:color="auto" w:fill="FFFFFF"/>
          <w:lang w:val="en-US"/>
        </w:rPr>
        <w:t xml:space="preserve">suggests that by the end of </w:t>
      </w:r>
      <w:r w:rsidR="004A181A" w:rsidRPr="00620367">
        <w:rPr>
          <w:rFonts w:ascii="Calibri" w:hAnsi="Calibri" w:cs="Arial"/>
          <w:color w:val="3A4149"/>
          <w:shd w:val="clear" w:color="auto" w:fill="FFFFFF"/>
          <w:lang w:val="en-US"/>
        </w:rPr>
        <w:t>2016</w:t>
      </w:r>
      <w:r w:rsidRPr="00620367">
        <w:rPr>
          <w:rFonts w:ascii="Calibri" w:hAnsi="Calibri" w:cs="Arial"/>
          <w:color w:val="3A4149"/>
          <w:shd w:val="clear" w:color="auto" w:fill="FFFFFF"/>
          <w:lang w:val="en-US"/>
        </w:rPr>
        <w:t>, majority of things were done in the area of judiciary, in which two third of the planned was implemented</w:t>
      </w:r>
      <w:r w:rsidR="004A181A" w:rsidRPr="00620367">
        <w:rPr>
          <w:rFonts w:ascii="Calibri" w:hAnsi="Calibri" w:cs="Arial"/>
          <w:color w:val="3A4149"/>
          <w:shd w:val="clear" w:color="auto" w:fill="FFFFFF"/>
          <w:lang w:val="en-US"/>
        </w:rPr>
        <w:t xml:space="preserve">. </w:t>
      </w:r>
      <w:r w:rsidRPr="00620367">
        <w:rPr>
          <w:rFonts w:ascii="Calibri" w:hAnsi="Calibri" w:cs="Arial"/>
          <w:color w:val="3A4149"/>
          <w:shd w:val="clear" w:color="auto" w:fill="FFFFFF"/>
          <w:lang w:val="en-US"/>
        </w:rPr>
        <w:t>The least reforms were done in the areas of combating corruption and cooperation with NGOs – only around one quarter, or on third of provided measures. A half of planned reforms were completed in the area of human rights</w:t>
      </w:r>
      <w:r w:rsidR="004A181A" w:rsidRPr="00620367">
        <w:rPr>
          <w:rFonts w:ascii="Calibri" w:hAnsi="Calibri" w:cs="Arial"/>
          <w:color w:val="3A4149"/>
          <w:shd w:val="clear" w:color="auto" w:fill="FFFFFF"/>
          <w:lang w:val="en-US"/>
        </w:rPr>
        <w:t>.</w:t>
      </w:r>
    </w:p>
    <w:p w:rsidR="0002394D" w:rsidRPr="00620367" w:rsidRDefault="00C46CF9" w:rsidP="00CE3EED">
      <w:pPr>
        <w:jc w:val="both"/>
        <w:rPr>
          <w:rFonts w:ascii="Calibri" w:hAnsi="Calibri"/>
          <w:lang w:val="en-US"/>
        </w:rPr>
      </w:pPr>
      <w:r w:rsidRPr="00620367">
        <w:rPr>
          <w:rFonts w:ascii="Calibri" w:hAnsi="Calibri"/>
          <w:lang w:val="en-US"/>
        </w:rPr>
        <w:t xml:space="preserve">Study of the Center for Democracy and Human Rights </w:t>
      </w:r>
      <w:r w:rsidR="0002394D" w:rsidRPr="00620367">
        <w:rPr>
          <w:rFonts w:ascii="Calibri" w:hAnsi="Calibri"/>
          <w:lang w:val="en-US"/>
        </w:rPr>
        <w:t xml:space="preserve">(CEDEM) </w:t>
      </w:r>
      <w:r w:rsidRPr="00620367">
        <w:rPr>
          <w:rFonts w:ascii="Calibri" w:hAnsi="Calibri"/>
          <w:lang w:val="en-US"/>
        </w:rPr>
        <w:t>carried out in June 2017 suggests that the corruption is a big problem</w:t>
      </w:r>
      <w:r w:rsidR="0002394D" w:rsidRPr="00620367">
        <w:rPr>
          <w:rFonts w:ascii="Calibri" w:hAnsi="Calibri"/>
          <w:lang w:val="en-US"/>
        </w:rPr>
        <w:t xml:space="preserve">, </w:t>
      </w:r>
      <w:r w:rsidRPr="00620367">
        <w:rPr>
          <w:rFonts w:ascii="Calibri" w:hAnsi="Calibri"/>
          <w:lang w:val="en-US"/>
        </w:rPr>
        <w:t xml:space="preserve">according to </w:t>
      </w:r>
      <w:r w:rsidR="0002394D" w:rsidRPr="00620367">
        <w:rPr>
          <w:rFonts w:ascii="Calibri" w:hAnsi="Calibri"/>
          <w:lang w:val="en-US"/>
        </w:rPr>
        <w:t xml:space="preserve">64% </w:t>
      </w:r>
      <w:r w:rsidRPr="00620367">
        <w:rPr>
          <w:rFonts w:ascii="Calibri" w:hAnsi="Calibri"/>
          <w:lang w:val="en-US"/>
        </w:rPr>
        <w:t>of citizens</w:t>
      </w:r>
      <w:r w:rsidR="0002394D" w:rsidRPr="00620367">
        <w:rPr>
          <w:rFonts w:ascii="Calibri" w:hAnsi="Calibri"/>
          <w:lang w:val="en-US"/>
        </w:rPr>
        <w:t xml:space="preserve">. </w:t>
      </w:r>
      <w:r w:rsidRPr="00620367">
        <w:rPr>
          <w:rFonts w:ascii="Calibri" w:hAnsi="Calibri"/>
          <w:lang w:val="en-US"/>
        </w:rPr>
        <w:t xml:space="preserve">A large number of citizens believe that a large number of officials/clerks </w:t>
      </w:r>
      <w:proofErr w:type="gramStart"/>
      <w:r w:rsidRPr="00620367">
        <w:rPr>
          <w:rFonts w:ascii="Calibri" w:hAnsi="Calibri"/>
          <w:lang w:val="en-US"/>
        </w:rPr>
        <w:t>takes</w:t>
      </w:r>
      <w:proofErr w:type="gramEnd"/>
      <w:r w:rsidRPr="00620367">
        <w:rPr>
          <w:rFonts w:ascii="Calibri" w:hAnsi="Calibri"/>
          <w:lang w:val="en-US"/>
        </w:rPr>
        <w:t xml:space="preserve"> money or gifts</w:t>
      </w:r>
      <w:r w:rsidR="0002394D" w:rsidRPr="00620367">
        <w:rPr>
          <w:rFonts w:ascii="Calibri" w:hAnsi="Calibri"/>
          <w:lang w:val="en-US"/>
        </w:rPr>
        <w:t xml:space="preserve">. 69% </w:t>
      </w:r>
      <w:r w:rsidRPr="00620367">
        <w:rPr>
          <w:rFonts w:ascii="Calibri" w:hAnsi="Calibri"/>
          <w:lang w:val="en-US"/>
        </w:rPr>
        <w:t>of citizens stated that this conclusion stems from their personal experience</w:t>
      </w:r>
      <w:r w:rsidR="007C4B2B" w:rsidRPr="00620367">
        <w:rPr>
          <w:rFonts w:ascii="Calibri" w:hAnsi="Calibri"/>
          <w:lang w:val="en-US"/>
        </w:rPr>
        <w:t>.</w:t>
      </w:r>
    </w:p>
    <w:p w:rsidR="0002394D" w:rsidRPr="00620367" w:rsidRDefault="001C3832" w:rsidP="00CE3EED">
      <w:pPr>
        <w:jc w:val="both"/>
        <w:rPr>
          <w:rFonts w:ascii="Calibri" w:hAnsi="Calibri"/>
          <w:lang w:val="en-US"/>
        </w:rPr>
      </w:pPr>
      <w:r w:rsidRPr="00620367">
        <w:rPr>
          <w:rFonts w:ascii="Calibri" w:hAnsi="Calibri"/>
          <w:lang w:val="en-US"/>
        </w:rPr>
        <w:t>One of the reasons for reporting personal experiences of corruption is to shed light on big cases in this area.</w:t>
      </w:r>
      <w:r w:rsidR="0002394D" w:rsidRPr="00620367">
        <w:rPr>
          <w:rFonts w:ascii="Calibri" w:hAnsi="Calibri"/>
          <w:lang w:val="en-US"/>
        </w:rPr>
        <w:t xml:space="preserve"> </w:t>
      </w:r>
      <w:r w:rsidRPr="00620367">
        <w:rPr>
          <w:rFonts w:ascii="Calibri" w:hAnsi="Calibri"/>
          <w:lang w:val="en-US"/>
        </w:rPr>
        <w:t xml:space="preserve">Those who would not report corruption stated that they did not do so because it is not easy to prove </w:t>
      </w:r>
      <w:r w:rsidR="0002394D" w:rsidRPr="00620367">
        <w:rPr>
          <w:rFonts w:ascii="Calibri" w:hAnsi="Calibri"/>
          <w:lang w:val="en-US"/>
        </w:rPr>
        <w:t>26</w:t>
      </w:r>
      <w:r w:rsidRPr="00620367">
        <w:rPr>
          <w:rFonts w:ascii="Calibri" w:hAnsi="Calibri"/>
          <w:lang w:val="en-US"/>
        </w:rPr>
        <w:t>.</w:t>
      </w:r>
      <w:r w:rsidR="0002394D" w:rsidRPr="00620367">
        <w:rPr>
          <w:rFonts w:ascii="Calibri" w:hAnsi="Calibri"/>
          <w:lang w:val="en-US"/>
        </w:rPr>
        <w:t>4%</w:t>
      </w:r>
      <w:r w:rsidRPr="00620367">
        <w:rPr>
          <w:rFonts w:ascii="Calibri" w:hAnsi="Calibri"/>
          <w:lang w:val="en-US"/>
        </w:rPr>
        <w:t xml:space="preserve"> of them</w:t>
      </w:r>
      <w:r w:rsidR="0002394D" w:rsidRPr="00620367">
        <w:rPr>
          <w:rFonts w:ascii="Calibri" w:hAnsi="Calibri"/>
          <w:lang w:val="en-US"/>
        </w:rPr>
        <w:t xml:space="preserve">. </w:t>
      </w:r>
      <w:r w:rsidRPr="00620367">
        <w:rPr>
          <w:rFonts w:ascii="Calibri" w:hAnsi="Calibri"/>
          <w:lang w:val="en-US"/>
        </w:rPr>
        <w:t>Every fourth citizen would not report corruption because they do not believe there would be any investigation into it; and every fifth citizen, according to the study, is afraid of reporting corruption</w:t>
      </w:r>
      <w:r w:rsidR="0002394D" w:rsidRPr="00620367">
        <w:rPr>
          <w:rFonts w:ascii="Calibri" w:hAnsi="Calibri"/>
          <w:lang w:val="en-US"/>
        </w:rPr>
        <w:t>.</w:t>
      </w:r>
    </w:p>
    <w:p w:rsidR="0002394D" w:rsidRPr="00620367" w:rsidRDefault="0002394D" w:rsidP="00CE3EED">
      <w:pPr>
        <w:jc w:val="both"/>
        <w:rPr>
          <w:rFonts w:ascii="Calibri" w:hAnsi="Calibri"/>
          <w:lang w:val="en-US"/>
        </w:rPr>
      </w:pPr>
      <w:r w:rsidRPr="00620367">
        <w:rPr>
          <w:rFonts w:ascii="Calibri" w:hAnsi="Calibri"/>
          <w:lang w:val="en-US"/>
        </w:rPr>
        <w:t>32</w:t>
      </w:r>
      <w:r w:rsidR="001C3832" w:rsidRPr="00620367">
        <w:rPr>
          <w:rFonts w:ascii="Calibri" w:hAnsi="Calibri"/>
          <w:lang w:val="en-US"/>
        </w:rPr>
        <w:t>.</w:t>
      </w:r>
      <w:r w:rsidRPr="00620367">
        <w:rPr>
          <w:rFonts w:ascii="Calibri" w:hAnsi="Calibri"/>
          <w:lang w:val="en-US"/>
        </w:rPr>
        <w:t xml:space="preserve">3% </w:t>
      </w:r>
      <w:r w:rsidR="001C3832" w:rsidRPr="00620367">
        <w:rPr>
          <w:rFonts w:ascii="Calibri" w:hAnsi="Calibri"/>
          <w:lang w:val="en-US"/>
        </w:rPr>
        <w:t>of citizens believe that the corruption would remain at almost the same level once Montenegro joins EU</w:t>
      </w:r>
      <w:r w:rsidRPr="00620367">
        <w:rPr>
          <w:rFonts w:ascii="Calibri" w:hAnsi="Calibri"/>
          <w:lang w:val="en-US"/>
        </w:rPr>
        <w:t>. 23</w:t>
      </w:r>
      <w:r w:rsidR="001C3832" w:rsidRPr="00620367">
        <w:rPr>
          <w:rFonts w:ascii="Calibri" w:hAnsi="Calibri"/>
          <w:lang w:val="en-US"/>
        </w:rPr>
        <w:t>.</w:t>
      </w:r>
      <w:r w:rsidRPr="00620367">
        <w:rPr>
          <w:rFonts w:ascii="Calibri" w:hAnsi="Calibri"/>
          <w:lang w:val="en-US"/>
        </w:rPr>
        <w:t xml:space="preserve">7% </w:t>
      </w:r>
      <w:r w:rsidR="001C3832" w:rsidRPr="00620367">
        <w:rPr>
          <w:rFonts w:ascii="Calibri" w:hAnsi="Calibri"/>
          <w:lang w:val="en-US"/>
        </w:rPr>
        <w:t xml:space="preserve">of them think that it would gradually reduce; </w:t>
      </w:r>
      <w:r w:rsidRPr="00620367">
        <w:rPr>
          <w:rFonts w:ascii="Calibri" w:hAnsi="Calibri"/>
          <w:lang w:val="en-US"/>
        </w:rPr>
        <w:t xml:space="preserve">14% </w:t>
      </w:r>
      <w:r w:rsidR="001C3832" w:rsidRPr="00620367">
        <w:rPr>
          <w:rFonts w:ascii="Calibri" w:hAnsi="Calibri"/>
          <w:lang w:val="en-US"/>
        </w:rPr>
        <w:t xml:space="preserve">think that the corruption would grown with joining EU; and even </w:t>
      </w:r>
      <w:r w:rsidRPr="00620367">
        <w:rPr>
          <w:rFonts w:ascii="Calibri" w:hAnsi="Calibri"/>
          <w:lang w:val="en-US"/>
        </w:rPr>
        <w:t xml:space="preserve">30% </w:t>
      </w:r>
      <w:r w:rsidR="001C3832" w:rsidRPr="00620367">
        <w:rPr>
          <w:rFonts w:ascii="Calibri" w:hAnsi="Calibri"/>
          <w:lang w:val="en-US"/>
        </w:rPr>
        <w:t>of them stated that they do not know the answer to this question</w:t>
      </w:r>
      <w:r w:rsidRPr="00620367">
        <w:rPr>
          <w:rFonts w:ascii="Calibri" w:hAnsi="Calibri"/>
          <w:lang w:val="en-US"/>
        </w:rPr>
        <w:t>.</w:t>
      </w:r>
    </w:p>
    <w:p w:rsidR="0002394D" w:rsidRPr="00620367" w:rsidRDefault="00946193" w:rsidP="00CE3EED">
      <w:pPr>
        <w:jc w:val="both"/>
        <w:rPr>
          <w:rFonts w:ascii="Calibri" w:hAnsi="Calibri"/>
          <w:lang w:val="en-US"/>
        </w:rPr>
      </w:pPr>
      <w:r w:rsidRPr="00620367">
        <w:rPr>
          <w:rFonts w:ascii="Calibri" w:hAnsi="Calibri"/>
          <w:lang w:val="en-US"/>
        </w:rPr>
        <w:lastRenderedPageBreak/>
        <w:t xml:space="preserve">Montenegrins believe that the corruption is mostly present in healthcare </w:t>
      </w:r>
      <w:r w:rsidR="0002394D" w:rsidRPr="00620367">
        <w:rPr>
          <w:rFonts w:ascii="Calibri" w:hAnsi="Calibri"/>
          <w:lang w:val="en-US"/>
        </w:rPr>
        <w:t xml:space="preserve">(23% </w:t>
      </w:r>
      <w:r w:rsidRPr="00620367">
        <w:rPr>
          <w:rFonts w:ascii="Calibri" w:hAnsi="Calibri"/>
          <w:lang w:val="en-US"/>
        </w:rPr>
        <w:t>of citizens</w:t>
      </w:r>
      <w:r w:rsidR="0002394D" w:rsidRPr="00620367">
        <w:rPr>
          <w:rFonts w:ascii="Calibri" w:hAnsi="Calibri"/>
          <w:lang w:val="en-US"/>
        </w:rPr>
        <w:t>)</w:t>
      </w:r>
      <w:r w:rsidRPr="00620367">
        <w:rPr>
          <w:rFonts w:ascii="Calibri" w:hAnsi="Calibri"/>
          <w:lang w:val="en-US"/>
        </w:rPr>
        <w:t xml:space="preserve">, police </w:t>
      </w:r>
      <w:r w:rsidR="0002394D" w:rsidRPr="00620367">
        <w:rPr>
          <w:rFonts w:ascii="Calibri" w:hAnsi="Calibri"/>
          <w:lang w:val="en-US"/>
        </w:rPr>
        <w:t>(12</w:t>
      </w:r>
      <w:r w:rsidRPr="00620367">
        <w:rPr>
          <w:rFonts w:ascii="Calibri" w:hAnsi="Calibri"/>
          <w:lang w:val="en-US"/>
        </w:rPr>
        <w:t>.</w:t>
      </w:r>
      <w:r w:rsidR="0002394D" w:rsidRPr="00620367">
        <w:rPr>
          <w:rFonts w:ascii="Calibri" w:hAnsi="Calibri"/>
          <w:lang w:val="en-US"/>
        </w:rPr>
        <w:t>7%)</w:t>
      </w:r>
      <w:r w:rsidRPr="00620367">
        <w:rPr>
          <w:rFonts w:ascii="Calibri" w:hAnsi="Calibri"/>
          <w:lang w:val="en-US"/>
        </w:rPr>
        <w:t xml:space="preserve">, and state administration </w:t>
      </w:r>
      <w:r w:rsidR="0002394D" w:rsidRPr="00620367">
        <w:rPr>
          <w:rFonts w:ascii="Calibri" w:hAnsi="Calibri"/>
          <w:lang w:val="en-US"/>
        </w:rPr>
        <w:t>(8</w:t>
      </w:r>
      <w:r w:rsidRPr="00620367">
        <w:rPr>
          <w:rFonts w:ascii="Calibri" w:hAnsi="Calibri"/>
          <w:lang w:val="en-US"/>
        </w:rPr>
        <w:t>.</w:t>
      </w:r>
      <w:r w:rsidR="0002394D" w:rsidRPr="00620367">
        <w:rPr>
          <w:rFonts w:ascii="Calibri" w:hAnsi="Calibri"/>
          <w:lang w:val="en-US"/>
        </w:rPr>
        <w:t>9%), a</w:t>
      </w:r>
      <w:r w:rsidRPr="00620367">
        <w:rPr>
          <w:rFonts w:ascii="Calibri" w:hAnsi="Calibri"/>
          <w:lang w:val="en-US"/>
        </w:rPr>
        <w:t xml:space="preserve">nd the least in sport </w:t>
      </w:r>
      <w:r w:rsidR="0002394D" w:rsidRPr="00620367">
        <w:rPr>
          <w:rFonts w:ascii="Calibri" w:hAnsi="Calibri"/>
          <w:lang w:val="en-US"/>
        </w:rPr>
        <w:t>(0</w:t>
      </w:r>
      <w:r w:rsidRPr="00620367">
        <w:rPr>
          <w:rFonts w:ascii="Calibri" w:hAnsi="Calibri"/>
          <w:lang w:val="en-US"/>
        </w:rPr>
        <w:t>.</w:t>
      </w:r>
      <w:r w:rsidR="0002394D" w:rsidRPr="00620367">
        <w:rPr>
          <w:rFonts w:ascii="Calibri" w:hAnsi="Calibri"/>
          <w:lang w:val="en-US"/>
        </w:rPr>
        <w:t xml:space="preserve">3%), </w:t>
      </w:r>
      <w:r w:rsidRPr="00620367">
        <w:rPr>
          <w:rFonts w:ascii="Calibri" w:hAnsi="Calibri"/>
          <w:lang w:val="en-US"/>
        </w:rPr>
        <w:t>c</w:t>
      </w:r>
      <w:r w:rsidR="0002394D" w:rsidRPr="00620367">
        <w:rPr>
          <w:rFonts w:ascii="Calibri" w:hAnsi="Calibri"/>
          <w:lang w:val="en-US"/>
        </w:rPr>
        <w:t>ultur</w:t>
      </w:r>
      <w:r w:rsidRPr="00620367">
        <w:rPr>
          <w:rFonts w:ascii="Calibri" w:hAnsi="Calibri"/>
          <w:lang w:val="en-US"/>
        </w:rPr>
        <w:t>e</w:t>
      </w:r>
      <w:r w:rsidR="0002394D" w:rsidRPr="00620367">
        <w:rPr>
          <w:rFonts w:ascii="Calibri" w:hAnsi="Calibri"/>
          <w:lang w:val="en-US"/>
        </w:rPr>
        <w:t xml:space="preserve"> (0</w:t>
      </w:r>
      <w:r w:rsidRPr="00620367">
        <w:rPr>
          <w:rFonts w:ascii="Calibri" w:hAnsi="Calibri"/>
          <w:lang w:val="en-US"/>
        </w:rPr>
        <w:t>.</w:t>
      </w:r>
      <w:r w:rsidR="0002394D" w:rsidRPr="00620367">
        <w:rPr>
          <w:rFonts w:ascii="Calibri" w:hAnsi="Calibri"/>
          <w:lang w:val="en-US"/>
        </w:rPr>
        <w:t>7%)</w:t>
      </w:r>
      <w:r w:rsidRPr="00620367">
        <w:rPr>
          <w:rFonts w:ascii="Calibri" w:hAnsi="Calibri"/>
          <w:lang w:val="en-US"/>
        </w:rPr>
        <w:t xml:space="preserve">, and media </w:t>
      </w:r>
      <w:r w:rsidR="0002394D" w:rsidRPr="00620367">
        <w:rPr>
          <w:rFonts w:ascii="Calibri" w:hAnsi="Calibri"/>
          <w:lang w:val="en-US"/>
        </w:rPr>
        <w:t>(2</w:t>
      </w:r>
      <w:r w:rsidRPr="00620367">
        <w:rPr>
          <w:rFonts w:ascii="Calibri" w:hAnsi="Calibri"/>
          <w:lang w:val="en-US"/>
        </w:rPr>
        <w:t>.</w:t>
      </w:r>
      <w:r w:rsidR="0002394D" w:rsidRPr="00620367">
        <w:rPr>
          <w:rFonts w:ascii="Calibri" w:hAnsi="Calibri"/>
          <w:lang w:val="en-US"/>
        </w:rPr>
        <w:t xml:space="preserve">4%), </w:t>
      </w:r>
      <w:r w:rsidRPr="00620367">
        <w:rPr>
          <w:rFonts w:ascii="Calibri" w:hAnsi="Calibri"/>
          <w:lang w:val="en-US"/>
        </w:rPr>
        <w:t xml:space="preserve">according to the study of the agency </w:t>
      </w:r>
      <w:proofErr w:type="spellStart"/>
      <w:r w:rsidR="0002394D" w:rsidRPr="00620367">
        <w:rPr>
          <w:rFonts w:ascii="Calibri" w:hAnsi="Calibri"/>
          <w:lang w:val="en-US"/>
        </w:rPr>
        <w:t>Defacto</w:t>
      </w:r>
      <w:proofErr w:type="spellEnd"/>
      <w:r w:rsidR="0002394D" w:rsidRPr="00620367">
        <w:rPr>
          <w:rFonts w:ascii="Calibri" w:hAnsi="Calibri"/>
          <w:lang w:val="en-US"/>
        </w:rPr>
        <w:t xml:space="preserve"> </w:t>
      </w:r>
      <w:r w:rsidRPr="00620367">
        <w:rPr>
          <w:rFonts w:ascii="Calibri" w:hAnsi="Calibri"/>
          <w:lang w:val="en-US"/>
        </w:rPr>
        <w:t xml:space="preserve">from </w:t>
      </w:r>
      <w:r w:rsidR="0002394D" w:rsidRPr="00620367">
        <w:rPr>
          <w:rFonts w:ascii="Calibri" w:hAnsi="Calibri"/>
          <w:lang w:val="en-US"/>
        </w:rPr>
        <w:t xml:space="preserve">2016. </w:t>
      </w:r>
      <w:r w:rsidRPr="00620367">
        <w:rPr>
          <w:rFonts w:ascii="Calibri" w:hAnsi="Calibri"/>
          <w:lang w:val="en-US"/>
        </w:rPr>
        <w:t xml:space="preserve">The causes for corruption, as observed by the citizens, are lack of civic awareness and responsibility about the detrimental effects of corruption </w:t>
      </w:r>
      <w:r w:rsidR="0002394D" w:rsidRPr="00620367">
        <w:rPr>
          <w:rFonts w:ascii="Calibri" w:hAnsi="Calibri"/>
          <w:lang w:val="en-US"/>
        </w:rPr>
        <w:t xml:space="preserve">(21%), </w:t>
      </w:r>
      <w:r w:rsidRPr="00620367">
        <w:rPr>
          <w:rFonts w:ascii="Calibri" w:hAnsi="Calibri"/>
          <w:lang w:val="en-US"/>
        </w:rPr>
        <w:t>low wages of employees in state</w:t>
      </w:r>
      <w:r w:rsidR="0002394D" w:rsidRPr="00620367">
        <w:rPr>
          <w:rFonts w:ascii="Calibri" w:hAnsi="Calibri"/>
          <w:lang w:val="en-US"/>
        </w:rPr>
        <w:t>/</w:t>
      </w:r>
      <w:r w:rsidRPr="00620367">
        <w:rPr>
          <w:rFonts w:ascii="Calibri" w:hAnsi="Calibri"/>
          <w:lang w:val="en-US"/>
        </w:rPr>
        <w:t xml:space="preserve">municipal services </w:t>
      </w:r>
      <w:r w:rsidR="0002394D" w:rsidRPr="00620367">
        <w:rPr>
          <w:rFonts w:ascii="Calibri" w:hAnsi="Calibri"/>
          <w:lang w:val="en-US"/>
        </w:rPr>
        <w:t>(18</w:t>
      </w:r>
      <w:r w:rsidRPr="00620367">
        <w:rPr>
          <w:rFonts w:ascii="Calibri" w:hAnsi="Calibri"/>
          <w:lang w:val="en-US"/>
        </w:rPr>
        <w:t>.</w:t>
      </w:r>
      <w:r w:rsidR="0002394D" w:rsidRPr="00620367">
        <w:rPr>
          <w:rFonts w:ascii="Calibri" w:hAnsi="Calibri"/>
          <w:lang w:val="en-US"/>
        </w:rPr>
        <w:t xml:space="preserve">3%), </w:t>
      </w:r>
      <w:proofErr w:type="gramStart"/>
      <w:r w:rsidR="0002394D" w:rsidRPr="00620367">
        <w:rPr>
          <w:rFonts w:ascii="Calibri" w:hAnsi="Calibri"/>
          <w:lang w:val="en-US"/>
        </w:rPr>
        <w:t>nepoti</w:t>
      </w:r>
      <w:r w:rsidRPr="00620367">
        <w:rPr>
          <w:rFonts w:ascii="Calibri" w:hAnsi="Calibri"/>
          <w:lang w:val="en-US"/>
        </w:rPr>
        <w:t>s</w:t>
      </w:r>
      <w:r w:rsidR="0002394D" w:rsidRPr="00620367">
        <w:rPr>
          <w:rFonts w:ascii="Calibri" w:hAnsi="Calibri"/>
          <w:lang w:val="en-US"/>
        </w:rPr>
        <w:t>m</w:t>
      </w:r>
      <w:proofErr w:type="gramEnd"/>
      <w:r w:rsidR="0002394D" w:rsidRPr="00620367">
        <w:rPr>
          <w:rFonts w:ascii="Calibri" w:hAnsi="Calibri"/>
          <w:lang w:val="en-US"/>
        </w:rPr>
        <w:t xml:space="preserve"> </w:t>
      </w:r>
      <w:r w:rsidRPr="00620367">
        <w:rPr>
          <w:rFonts w:ascii="Calibri" w:hAnsi="Calibri"/>
          <w:lang w:val="en-US"/>
        </w:rPr>
        <w:t xml:space="preserve">as a form of corruption </w:t>
      </w:r>
      <w:r w:rsidR="0002394D" w:rsidRPr="00620367">
        <w:rPr>
          <w:rFonts w:ascii="Calibri" w:hAnsi="Calibri"/>
          <w:lang w:val="en-US"/>
        </w:rPr>
        <w:t>(15</w:t>
      </w:r>
      <w:r w:rsidRPr="00620367">
        <w:rPr>
          <w:rFonts w:ascii="Calibri" w:hAnsi="Calibri"/>
          <w:lang w:val="en-US"/>
        </w:rPr>
        <w:t>.</w:t>
      </w:r>
      <w:r w:rsidR="0002394D" w:rsidRPr="00620367">
        <w:rPr>
          <w:rFonts w:ascii="Calibri" w:hAnsi="Calibri"/>
          <w:lang w:val="en-US"/>
        </w:rPr>
        <w:t>8%).</w:t>
      </w:r>
      <w:r w:rsidR="00AF5D07" w:rsidRPr="00620367">
        <w:rPr>
          <w:rFonts w:ascii="Calibri" w:hAnsi="Calibri"/>
          <w:lang w:val="en-US"/>
        </w:rPr>
        <w:t xml:space="preserve"> </w:t>
      </w:r>
      <w:r w:rsidRPr="00620367">
        <w:rPr>
          <w:rFonts w:ascii="Calibri" w:hAnsi="Calibri"/>
          <w:lang w:val="en-US"/>
        </w:rPr>
        <w:t xml:space="preserve">Only </w:t>
      </w:r>
      <w:r w:rsidR="0002394D" w:rsidRPr="00620367">
        <w:rPr>
          <w:rFonts w:ascii="Calibri" w:hAnsi="Calibri"/>
          <w:lang w:val="en-US"/>
        </w:rPr>
        <w:t>11</w:t>
      </w:r>
      <w:r w:rsidRPr="00620367">
        <w:rPr>
          <w:rFonts w:ascii="Calibri" w:hAnsi="Calibri"/>
          <w:lang w:val="en-US"/>
        </w:rPr>
        <w:t>.</w:t>
      </w:r>
      <w:r w:rsidR="0002394D" w:rsidRPr="00620367">
        <w:rPr>
          <w:rFonts w:ascii="Calibri" w:hAnsi="Calibri"/>
          <w:lang w:val="en-US"/>
        </w:rPr>
        <w:t xml:space="preserve">7% </w:t>
      </w:r>
      <w:r w:rsidRPr="00620367">
        <w:rPr>
          <w:rFonts w:ascii="Calibri" w:hAnsi="Calibri"/>
          <w:lang w:val="en-US"/>
        </w:rPr>
        <w:t>believe that the corruption partly grew if compared with the last year</w:t>
      </w:r>
      <w:r w:rsidR="0002394D" w:rsidRPr="00620367">
        <w:rPr>
          <w:rFonts w:ascii="Calibri" w:hAnsi="Calibri"/>
          <w:lang w:val="en-US"/>
        </w:rPr>
        <w:t xml:space="preserve">, </w:t>
      </w:r>
      <w:r w:rsidRPr="00620367">
        <w:rPr>
          <w:rFonts w:ascii="Calibri" w:hAnsi="Calibri"/>
          <w:lang w:val="en-US"/>
        </w:rPr>
        <w:t>whereas 4.7% believe that the corruption significantly grew</w:t>
      </w:r>
      <w:r w:rsidR="0002394D" w:rsidRPr="00620367">
        <w:rPr>
          <w:rFonts w:ascii="Calibri" w:hAnsi="Calibri"/>
          <w:lang w:val="en-US"/>
        </w:rPr>
        <w:t xml:space="preserve">. </w:t>
      </w:r>
      <w:r w:rsidRPr="00620367">
        <w:rPr>
          <w:rFonts w:ascii="Calibri" w:hAnsi="Calibri"/>
          <w:lang w:val="en-US"/>
        </w:rPr>
        <w:t xml:space="preserve">The vast majority of interviewees </w:t>
      </w:r>
      <w:r w:rsidR="0002394D" w:rsidRPr="00620367">
        <w:rPr>
          <w:rFonts w:ascii="Calibri" w:hAnsi="Calibri"/>
          <w:lang w:val="en-US"/>
        </w:rPr>
        <w:t>(73</w:t>
      </w:r>
      <w:r w:rsidRPr="00620367">
        <w:rPr>
          <w:rFonts w:ascii="Calibri" w:hAnsi="Calibri"/>
          <w:lang w:val="en-US"/>
        </w:rPr>
        <w:t>.</w:t>
      </w:r>
      <w:r w:rsidR="0002394D" w:rsidRPr="00620367">
        <w:rPr>
          <w:rFonts w:ascii="Calibri" w:hAnsi="Calibri"/>
          <w:lang w:val="en-US"/>
        </w:rPr>
        <w:t xml:space="preserve">5%) </w:t>
      </w:r>
      <w:r w:rsidRPr="00620367">
        <w:rPr>
          <w:rFonts w:ascii="Calibri" w:hAnsi="Calibri"/>
          <w:lang w:val="en-US"/>
        </w:rPr>
        <w:t>believe that also those giving bribe are criminally responsible, just as those who receive bribe</w:t>
      </w:r>
      <w:r w:rsidR="0002394D" w:rsidRPr="00620367">
        <w:rPr>
          <w:rFonts w:ascii="Calibri" w:hAnsi="Calibri"/>
          <w:lang w:val="en-US"/>
        </w:rPr>
        <w:t xml:space="preserve">. </w:t>
      </w:r>
      <w:r w:rsidRPr="00620367">
        <w:rPr>
          <w:rFonts w:ascii="Calibri" w:hAnsi="Calibri"/>
          <w:lang w:val="en-US"/>
        </w:rPr>
        <w:t xml:space="preserve">The vast majority of interviewees </w:t>
      </w:r>
      <w:r w:rsidR="0002394D" w:rsidRPr="00620367">
        <w:rPr>
          <w:rFonts w:ascii="Calibri" w:hAnsi="Calibri"/>
          <w:lang w:val="en-US"/>
        </w:rPr>
        <w:t>(76</w:t>
      </w:r>
      <w:r w:rsidRPr="00620367">
        <w:rPr>
          <w:rFonts w:ascii="Calibri" w:hAnsi="Calibri"/>
          <w:lang w:val="en-US"/>
        </w:rPr>
        <w:t>.</w:t>
      </w:r>
      <w:r w:rsidR="0002394D" w:rsidRPr="00620367">
        <w:rPr>
          <w:rFonts w:ascii="Calibri" w:hAnsi="Calibri"/>
          <w:lang w:val="en-US"/>
        </w:rPr>
        <w:t xml:space="preserve">8%) </w:t>
      </w:r>
      <w:r w:rsidRPr="00620367">
        <w:rPr>
          <w:rFonts w:ascii="Calibri" w:hAnsi="Calibri"/>
          <w:lang w:val="en-US"/>
        </w:rPr>
        <w:t>have never been conditioned by any civil servant to give a gift or money in course of exercising of their rights in the state or municipal services</w:t>
      </w:r>
      <w:r w:rsidR="0002394D" w:rsidRPr="00620367">
        <w:rPr>
          <w:rFonts w:ascii="Calibri" w:hAnsi="Calibri"/>
          <w:lang w:val="en-US"/>
        </w:rPr>
        <w:t xml:space="preserve">. </w:t>
      </w:r>
      <w:r w:rsidRPr="00620367">
        <w:rPr>
          <w:rFonts w:ascii="Calibri" w:hAnsi="Calibri"/>
          <w:lang w:val="en-US"/>
        </w:rPr>
        <w:t xml:space="preserve">The vast majority of interviewees </w:t>
      </w:r>
      <w:r w:rsidR="0002394D" w:rsidRPr="00620367">
        <w:rPr>
          <w:rFonts w:ascii="Calibri" w:hAnsi="Calibri"/>
          <w:lang w:val="en-US"/>
        </w:rPr>
        <w:t>(75</w:t>
      </w:r>
      <w:r w:rsidRPr="00620367">
        <w:rPr>
          <w:rFonts w:ascii="Calibri" w:hAnsi="Calibri"/>
          <w:lang w:val="en-US"/>
        </w:rPr>
        <w:t>.</w:t>
      </w:r>
      <w:r w:rsidR="0002394D" w:rsidRPr="00620367">
        <w:rPr>
          <w:rFonts w:ascii="Calibri" w:hAnsi="Calibri"/>
          <w:lang w:val="en-US"/>
        </w:rPr>
        <w:t xml:space="preserve">3%) </w:t>
      </w:r>
      <w:r w:rsidRPr="00620367">
        <w:rPr>
          <w:rFonts w:ascii="Calibri" w:hAnsi="Calibri"/>
          <w:lang w:val="en-US"/>
        </w:rPr>
        <w:t>claim that they have never offered any gift or money in exchange for the right they are entitled to; and every sixth interviewee admitted that they have frequently or occasionally offered bribe</w:t>
      </w:r>
      <w:r w:rsidR="0002394D" w:rsidRPr="00620367">
        <w:rPr>
          <w:rFonts w:ascii="Calibri" w:hAnsi="Calibri"/>
          <w:lang w:val="en-US"/>
        </w:rPr>
        <w:t xml:space="preserve">. </w:t>
      </w:r>
      <w:r w:rsidRPr="00620367">
        <w:rPr>
          <w:rFonts w:ascii="Calibri" w:hAnsi="Calibri"/>
          <w:lang w:val="en-US"/>
        </w:rPr>
        <w:t xml:space="preserve">Most of the citizens would report corruption to the Agency for fighting corruption </w:t>
      </w:r>
      <w:r w:rsidR="0002394D" w:rsidRPr="00620367">
        <w:rPr>
          <w:rFonts w:ascii="Calibri" w:hAnsi="Calibri"/>
          <w:lang w:val="en-US"/>
        </w:rPr>
        <w:t>(27</w:t>
      </w:r>
      <w:r w:rsidRPr="00620367">
        <w:rPr>
          <w:rFonts w:ascii="Calibri" w:hAnsi="Calibri"/>
          <w:lang w:val="en-US"/>
        </w:rPr>
        <w:t>.</w:t>
      </w:r>
      <w:r w:rsidR="0002394D" w:rsidRPr="00620367">
        <w:rPr>
          <w:rFonts w:ascii="Calibri" w:hAnsi="Calibri"/>
          <w:lang w:val="en-US"/>
        </w:rPr>
        <w:t>4%)</w:t>
      </w:r>
      <w:r w:rsidRPr="00620367">
        <w:rPr>
          <w:rFonts w:ascii="Calibri" w:hAnsi="Calibri"/>
          <w:lang w:val="en-US"/>
        </w:rPr>
        <w:t xml:space="preserve">, then to Police </w:t>
      </w:r>
      <w:r w:rsidR="0002394D" w:rsidRPr="00620367">
        <w:rPr>
          <w:rFonts w:ascii="Calibri" w:hAnsi="Calibri"/>
          <w:lang w:val="en-US"/>
        </w:rPr>
        <w:t>(21</w:t>
      </w:r>
      <w:r w:rsidRPr="00620367">
        <w:rPr>
          <w:rFonts w:ascii="Calibri" w:hAnsi="Calibri"/>
          <w:lang w:val="en-US"/>
        </w:rPr>
        <w:t>.</w:t>
      </w:r>
      <w:r w:rsidR="0002394D" w:rsidRPr="00620367">
        <w:rPr>
          <w:rFonts w:ascii="Calibri" w:hAnsi="Calibri"/>
          <w:lang w:val="en-US"/>
        </w:rPr>
        <w:t xml:space="preserve">1%), </w:t>
      </w:r>
      <w:r w:rsidRPr="00620367">
        <w:rPr>
          <w:rFonts w:ascii="Calibri" w:hAnsi="Calibri"/>
          <w:lang w:val="en-US"/>
        </w:rPr>
        <w:t xml:space="preserve">media </w:t>
      </w:r>
      <w:r w:rsidR="0002394D" w:rsidRPr="00620367">
        <w:rPr>
          <w:rFonts w:ascii="Calibri" w:hAnsi="Calibri"/>
          <w:lang w:val="en-US"/>
        </w:rPr>
        <w:t>(13</w:t>
      </w:r>
      <w:r w:rsidRPr="00620367">
        <w:rPr>
          <w:rFonts w:ascii="Calibri" w:hAnsi="Calibri"/>
          <w:lang w:val="en-US"/>
        </w:rPr>
        <w:t>.</w:t>
      </w:r>
      <w:r w:rsidR="0002394D" w:rsidRPr="00620367">
        <w:rPr>
          <w:rFonts w:ascii="Calibri" w:hAnsi="Calibri"/>
          <w:lang w:val="en-US"/>
        </w:rPr>
        <w:t xml:space="preserve">9%), </w:t>
      </w:r>
      <w:r w:rsidRPr="00620367">
        <w:rPr>
          <w:rFonts w:ascii="Calibri" w:hAnsi="Calibri"/>
          <w:lang w:val="en-US"/>
        </w:rPr>
        <w:t xml:space="preserve">Prosecutor’s Office </w:t>
      </w:r>
      <w:r w:rsidR="0002394D" w:rsidRPr="00620367">
        <w:rPr>
          <w:rFonts w:ascii="Calibri" w:hAnsi="Calibri"/>
          <w:lang w:val="en-US"/>
        </w:rPr>
        <w:t>(11</w:t>
      </w:r>
      <w:r w:rsidRPr="00620367">
        <w:rPr>
          <w:rFonts w:ascii="Calibri" w:hAnsi="Calibri"/>
          <w:lang w:val="en-US"/>
        </w:rPr>
        <w:t>.</w:t>
      </w:r>
      <w:r w:rsidR="0002394D" w:rsidRPr="00620367">
        <w:rPr>
          <w:rFonts w:ascii="Calibri" w:hAnsi="Calibri"/>
          <w:lang w:val="en-US"/>
        </w:rPr>
        <w:t xml:space="preserve">6%), </w:t>
      </w:r>
      <w:r w:rsidRPr="00620367">
        <w:rPr>
          <w:rFonts w:ascii="Calibri" w:hAnsi="Calibri"/>
          <w:lang w:val="en-US"/>
        </w:rPr>
        <w:t xml:space="preserve">NGO </w:t>
      </w:r>
      <w:r w:rsidR="0002394D" w:rsidRPr="00620367">
        <w:rPr>
          <w:rFonts w:ascii="Calibri" w:hAnsi="Calibri"/>
          <w:lang w:val="en-US"/>
        </w:rPr>
        <w:t>(10</w:t>
      </w:r>
      <w:r w:rsidRPr="00620367">
        <w:rPr>
          <w:rFonts w:ascii="Calibri" w:hAnsi="Calibri"/>
          <w:lang w:val="en-US"/>
        </w:rPr>
        <w:t>.</w:t>
      </w:r>
      <w:r w:rsidR="0002394D" w:rsidRPr="00620367">
        <w:rPr>
          <w:rFonts w:ascii="Calibri" w:hAnsi="Calibri"/>
          <w:lang w:val="en-US"/>
        </w:rPr>
        <w:t xml:space="preserve">9%), </w:t>
      </w:r>
      <w:r w:rsidRPr="00620367">
        <w:rPr>
          <w:rFonts w:ascii="Calibri" w:hAnsi="Calibri"/>
          <w:lang w:val="en-US"/>
        </w:rPr>
        <w:t xml:space="preserve">and judiciary </w:t>
      </w:r>
      <w:r w:rsidR="0002394D" w:rsidRPr="00620367">
        <w:rPr>
          <w:rFonts w:ascii="Calibri" w:hAnsi="Calibri"/>
          <w:lang w:val="en-US"/>
        </w:rPr>
        <w:t xml:space="preserve">(8%), </w:t>
      </w:r>
      <w:r w:rsidRPr="00620367">
        <w:rPr>
          <w:rFonts w:ascii="Calibri" w:hAnsi="Calibri"/>
          <w:lang w:val="en-US"/>
        </w:rPr>
        <w:t>according to the study</w:t>
      </w:r>
      <w:r w:rsidR="0002394D" w:rsidRPr="00620367">
        <w:rPr>
          <w:rFonts w:ascii="Calibri" w:hAnsi="Calibri"/>
          <w:lang w:val="en-US"/>
        </w:rPr>
        <w:t>.</w:t>
      </w:r>
      <w:r w:rsidRPr="00620367">
        <w:rPr>
          <w:rFonts w:ascii="Calibri" w:hAnsi="Calibri"/>
          <w:lang w:val="en-US"/>
        </w:rPr>
        <w:t xml:space="preserve"> The main reason why Montenegrins would not report corruption is lack of trust in the follow-up actions by the competent authorities </w:t>
      </w:r>
      <w:r w:rsidR="0002394D" w:rsidRPr="00620367">
        <w:rPr>
          <w:rFonts w:ascii="Calibri" w:hAnsi="Calibri"/>
          <w:lang w:val="en-US"/>
        </w:rPr>
        <w:t>(24</w:t>
      </w:r>
      <w:r w:rsidRPr="00620367">
        <w:rPr>
          <w:rFonts w:ascii="Calibri" w:hAnsi="Calibri"/>
          <w:lang w:val="en-US"/>
        </w:rPr>
        <w:t>.</w:t>
      </w:r>
      <w:r w:rsidR="0002394D" w:rsidRPr="00620367">
        <w:rPr>
          <w:rFonts w:ascii="Calibri" w:hAnsi="Calibri"/>
          <w:lang w:val="en-US"/>
        </w:rPr>
        <w:t xml:space="preserve">3%). </w:t>
      </w:r>
      <w:r w:rsidRPr="00620367">
        <w:rPr>
          <w:rFonts w:ascii="Calibri" w:hAnsi="Calibri"/>
          <w:lang w:val="en-US"/>
        </w:rPr>
        <w:t xml:space="preserve">Almost every fourth interviewee is not sure whether the case of corruption could be proven </w:t>
      </w:r>
      <w:r w:rsidR="0002394D" w:rsidRPr="00620367">
        <w:rPr>
          <w:rFonts w:ascii="Calibri" w:hAnsi="Calibri"/>
          <w:lang w:val="en-US"/>
        </w:rPr>
        <w:t>(23</w:t>
      </w:r>
      <w:r w:rsidRPr="00620367">
        <w:rPr>
          <w:rFonts w:ascii="Calibri" w:hAnsi="Calibri"/>
          <w:lang w:val="en-US"/>
        </w:rPr>
        <w:t>.</w:t>
      </w:r>
      <w:r w:rsidR="0002394D" w:rsidRPr="00620367">
        <w:rPr>
          <w:rFonts w:ascii="Calibri" w:hAnsi="Calibri"/>
          <w:lang w:val="en-US"/>
        </w:rPr>
        <w:t xml:space="preserve">1%). </w:t>
      </w:r>
      <w:r w:rsidRPr="00620367">
        <w:rPr>
          <w:rFonts w:ascii="Calibri" w:hAnsi="Calibri"/>
          <w:lang w:val="en-US"/>
        </w:rPr>
        <w:t xml:space="preserve">Every fifth citizen does not believe the report would remain anonymous </w:t>
      </w:r>
      <w:r w:rsidR="0002394D" w:rsidRPr="00620367">
        <w:rPr>
          <w:rFonts w:ascii="Calibri" w:hAnsi="Calibri"/>
          <w:lang w:val="en-US"/>
        </w:rPr>
        <w:t>(20</w:t>
      </w:r>
      <w:r w:rsidRPr="00620367">
        <w:rPr>
          <w:rFonts w:ascii="Calibri" w:hAnsi="Calibri"/>
          <w:lang w:val="en-US"/>
        </w:rPr>
        <w:t>.</w:t>
      </w:r>
      <w:r w:rsidR="0002394D" w:rsidRPr="00620367">
        <w:rPr>
          <w:rFonts w:ascii="Calibri" w:hAnsi="Calibri"/>
          <w:lang w:val="en-US"/>
        </w:rPr>
        <w:t xml:space="preserve">2%), </w:t>
      </w:r>
      <w:r w:rsidRPr="00620367">
        <w:rPr>
          <w:rFonts w:ascii="Calibri" w:hAnsi="Calibri"/>
          <w:lang w:val="en-US"/>
        </w:rPr>
        <w:t>according to the study</w:t>
      </w:r>
      <w:r w:rsidR="0002394D" w:rsidRPr="00620367">
        <w:rPr>
          <w:rFonts w:ascii="Calibri" w:hAnsi="Calibri"/>
          <w:lang w:val="en-US"/>
        </w:rPr>
        <w:t>.</w:t>
      </w:r>
      <w:r w:rsidRPr="00620367">
        <w:rPr>
          <w:rFonts w:ascii="Calibri" w:hAnsi="Calibri"/>
          <w:lang w:val="en-US"/>
        </w:rPr>
        <w:t xml:space="preserve"> Corruption in state administration is at same level </w:t>
      </w:r>
      <w:r w:rsidR="0002394D" w:rsidRPr="00620367">
        <w:rPr>
          <w:rFonts w:ascii="Calibri" w:hAnsi="Calibri"/>
          <w:lang w:val="en-US"/>
        </w:rPr>
        <w:t>(46</w:t>
      </w:r>
      <w:r w:rsidRPr="00620367">
        <w:rPr>
          <w:rFonts w:ascii="Calibri" w:hAnsi="Calibri"/>
          <w:lang w:val="en-US"/>
        </w:rPr>
        <w:t>.</w:t>
      </w:r>
      <w:r w:rsidR="0002394D" w:rsidRPr="00620367">
        <w:rPr>
          <w:rFonts w:ascii="Calibri" w:hAnsi="Calibri"/>
          <w:lang w:val="en-US"/>
        </w:rPr>
        <w:t>8%),</w:t>
      </w:r>
      <w:r w:rsidR="006E5912" w:rsidRPr="00620367">
        <w:rPr>
          <w:rFonts w:ascii="Calibri" w:hAnsi="Calibri"/>
          <w:lang w:val="en-US"/>
        </w:rPr>
        <w:t xml:space="preserve"> </w:t>
      </w:r>
      <w:r w:rsidRPr="00620367">
        <w:rPr>
          <w:rFonts w:ascii="Calibri" w:hAnsi="Calibri"/>
          <w:lang w:val="en-US"/>
        </w:rPr>
        <w:t xml:space="preserve">it partly grew </w:t>
      </w:r>
      <w:r w:rsidR="0002394D" w:rsidRPr="00620367">
        <w:rPr>
          <w:rFonts w:ascii="Calibri" w:hAnsi="Calibri"/>
          <w:lang w:val="en-US"/>
        </w:rPr>
        <w:t>(10</w:t>
      </w:r>
      <w:r w:rsidRPr="00620367">
        <w:rPr>
          <w:rFonts w:ascii="Calibri" w:hAnsi="Calibri"/>
          <w:lang w:val="en-US"/>
        </w:rPr>
        <w:t>.</w:t>
      </w:r>
      <w:r w:rsidR="0002394D" w:rsidRPr="00620367">
        <w:rPr>
          <w:rFonts w:ascii="Calibri" w:hAnsi="Calibri"/>
          <w:lang w:val="en-US"/>
        </w:rPr>
        <w:t xml:space="preserve">5%), </w:t>
      </w:r>
      <w:r w:rsidRPr="00620367">
        <w:rPr>
          <w:rFonts w:ascii="Calibri" w:hAnsi="Calibri"/>
          <w:lang w:val="en-US"/>
        </w:rPr>
        <w:t xml:space="preserve">significantly grew </w:t>
      </w:r>
      <w:r w:rsidR="0002394D" w:rsidRPr="00620367">
        <w:rPr>
          <w:rFonts w:ascii="Calibri" w:hAnsi="Calibri"/>
          <w:lang w:val="en-US"/>
        </w:rPr>
        <w:t>(4</w:t>
      </w:r>
      <w:r w:rsidRPr="00620367">
        <w:rPr>
          <w:rFonts w:ascii="Calibri" w:hAnsi="Calibri"/>
          <w:lang w:val="en-US"/>
        </w:rPr>
        <w:t>.</w:t>
      </w:r>
      <w:r w:rsidR="0002394D" w:rsidRPr="00620367">
        <w:rPr>
          <w:rFonts w:ascii="Calibri" w:hAnsi="Calibri"/>
          <w:lang w:val="en-US"/>
        </w:rPr>
        <w:t xml:space="preserve">1%) </w:t>
      </w:r>
      <w:r w:rsidRPr="00620367">
        <w:rPr>
          <w:rFonts w:ascii="Calibri" w:hAnsi="Calibri"/>
          <w:lang w:val="en-US"/>
        </w:rPr>
        <w:t>compared to the last year</w:t>
      </w:r>
      <w:r w:rsidR="0002394D" w:rsidRPr="00620367">
        <w:rPr>
          <w:rFonts w:ascii="Calibri" w:hAnsi="Calibri"/>
          <w:lang w:val="en-US"/>
        </w:rPr>
        <w:t xml:space="preserve">, </w:t>
      </w:r>
      <w:r w:rsidRPr="00620367">
        <w:rPr>
          <w:rFonts w:ascii="Calibri" w:hAnsi="Calibri"/>
          <w:lang w:val="en-US"/>
        </w:rPr>
        <w:t xml:space="preserve">while </w:t>
      </w:r>
      <w:r w:rsidR="0002394D" w:rsidRPr="00620367">
        <w:rPr>
          <w:rFonts w:ascii="Calibri" w:hAnsi="Calibri"/>
          <w:lang w:val="en-US"/>
        </w:rPr>
        <w:t>23</w:t>
      </w:r>
      <w:r w:rsidRPr="00620367">
        <w:rPr>
          <w:rFonts w:ascii="Calibri" w:hAnsi="Calibri"/>
          <w:lang w:val="en-US"/>
        </w:rPr>
        <w:t>.</w:t>
      </w:r>
      <w:r w:rsidR="0002394D" w:rsidRPr="00620367">
        <w:rPr>
          <w:rFonts w:ascii="Calibri" w:hAnsi="Calibri"/>
          <w:lang w:val="en-US"/>
        </w:rPr>
        <w:t xml:space="preserve">2% </w:t>
      </w:r>
      <w:r w:rsidRPr="00620367">
        <w:rPr>
          <w:rFonts w:ascii="Calibri" w:hAnsi="Calibri"/>
          <w:lang w:val="en-US"/>
        </w:rPr>
        <w:t>claims that the corruption in state administration is significantly or partly reduced compared to the last year</w:t>
      </w:r>
      <w:r w:rsidR="0002394D" w:rsidRPr="00620367">
        <w:rPr>
          <w:rFonts w:ascii="Calibri" w:hAnsi="Calibri"/>
          <w:lang w:val="en-US"/>
        </w:rPr>
        <w:t>.</w:t>
      </w:r>
    </w:p>
    <w:p w:rsidR="0002394D" w:rsidRPr="00620367" w:rsidRDefault="001C3832" w:rsidP="00CE3EED">
      <w:pPr>
        <w:pStyle w:val="NormalWeb"/>
        <w:shd w:val="clear" w:color="auto" w:fill="F8F8F8"/>
        <w:spacing w:before="0" w:beforeAutospacing="0" w:after="375" w:afterAutospacing="0"/>
        <w:jc w:val="both"/>
        <w:rPr>
          <w:rFonts w:ascii="Calibri" w:hAnsi="Calibri" w:cs="Arial"/>
          <w:color w:val="1E1324"/>
          <w:sz w:val="22"/>
          <w:szCs w:val="22"/>
          <w:lang w:val="en-US"/>
        </w:rPr>
      </w:pPr>
      <w:r w:rsidRPr="00620367">
        <w:rPr>
          <w:rFonts w:ascii="Calibri" w:hAnsi="Calibri" w:cs="Arial"/>
          <w:color w:val="1E1324"/>
          <w:sz w:val="22"/>
          <w:szCs w:val="22"/>
          <w:lang w:val="en-US"/>
        </w:rPr>
        <w:t xml:space="preserve">In the study </w:t>
      </w:r>
      <w:r w:rsidR="00F25F90" w:rsidRPr="00620367">
        <w:rPr>
          <w:rFonts w:ascii="Calibri" w:hAnsi="Calibri" w:cs="Arial"/>
          <w:color w:val="1E1324"/>
          <w:sz w:val="22"/>
          <w:szCs w:val="22"/>
          <w:lang w:val="en-US"/>
        </w:rPr>
        <w:t xml:space="preserve">Corruption Perception </w:t>
      </w:r>
      <w:r w:rsidR="0002394D" w:rsidRPr="00620367">
        <w:rPr>
          <w:rFonts w:ascii="Calibri" w:hAnsi="Calibri" w:cs="Arial"/>
          <w:color w:val="1E1324"/>
          <w:sz w:val="22"/>
          <w:szCs w:val="22"/>
          <w:lang w:val="en-US"/>
        </w:rPr>
        <w:t>Inde</w:t>
      </w:r>
      <w:r w:rsidRPr="00620367">
        <w:rPr>
          <w:rFonts w:ascii="Calibri" w:hAnsi="Calibri" w:cs="Arial"/>
          <w:color w:val="1E1324"/>
          <w:sz w:val="22"/>
          <w:szCs w:val="22"/>
          <w:lang w:val="en-US"/>
        </w:rPr>
        <w:t xml:space="preserve">x </w:t>
      </w:r>
      <w:r w:rsidR="0002394D" w:rsidRPr="00620367">
        <w:rPr>
          <w:rFonts w:ascii="Calibri" w:hAnsi="Calibri" w:cs="Arial"/>
          <w:color w:val="1E1324"/>
          <w:sz w:val="22"/>
          <w:szCs w:val="22"/>
          <w:lang w:val="en-US"/>
        </w:rPr>
        <w:t xml:space="preserve">(CPI), </w:t>
      </w:r>
      <w:r w:rsidRPr="00620367">
        <w:rPr>
          <w:rFonts w:ascii="Calibri" w:hAnsi="Calibri" w:cs="Arial"/>
          <w:color w:val="1E1324"/>
          <w:sz w:val="22"/>
          <w:szCs w:val="22"/>
          <w:lang w:val="en-US"/>
        </w:rPr>
        <w:t xml:space="preserve">carried out by the </w:t>
      </w:r>
      <w:hyperlink r:id="rId5" w:anchor="table" w:tgtFrame="_blank" w:history="1">
        <w:r w:rsidR="0002394D" w:rsidRPr="00620367">
          <w:rPr>
            <w:rStyle w:val="Strong"/>
            <w:rFonts w:ascii="Calibri" w:hAnsi="Calibri" w:cs="Arial"/>
            <w:i/>
            <w:iCs/>
            <w:color w:val="000080"/>
            <w:sz w:val="22"/>
            <w:szCs w:val="22"/>
            <w:lang w:val="en-US"/>
          </w:rPr>
          <w:t>global organiza</w:t>
        </w:r>
        <w:r w:rsidRPr="00620367">
          <w:rPr>
            <w:rStyle w:val="Strong"/>
            <w:rFonts w:ascii="Calibri" w:hAnsi="Calibri" w:cs="Arial"/>
            <w:i/>
            <w:iCs/>
            <w:color w:val="000080"/>
            <w:sz w:val="22"/>
            <w:szCs w:val="22"/>
            <w:lang w:val="en-US"/>
          </w:rPr>
          <w:t>tion</w:t>
        </w:r>
        <w:r w:rsidR="0002394D" w:rsidRPr="00620367">
          <w:rPr>
            <w:rStyle w:val="Strong"/>
            <w:rFonts w:ascii="Calibri" w:hAnsi="Calibri" w:cs="Arial"/>
            <w:i/>
            <w:iCs/>
            <w:color w:val="000080"/>
            <w:sz w:val="22"/>
            <w:szCs w:val="22"/>
            <w:lang w:val="en-US"/>
          </w:rPr>
          <w:t xml:space="preserve"> Transparency International</w:t>
        </w:r>
      </w:hyperlink>
      <w:r w:rsidR="0002394D" w:rsidRPr="00620367">
        <w:rPr>
          <w:rFonts w:ascii="Calibri" w:hAnsi="Calibri" w:cs="Arial"/>
          <w:color w:val="1E1324"/>
          <w:sz w:val="22"/>
          <w:szCs w:val="22"/>
          <w:lang w:val="en-US"/>
        </w:rPr>
        <w:t xml:space="preserve"> </w:t>
      </w:r>
      <w:r w:rsidRPr="00620367">
        <w:rPr>
          <w:rFonts w:ascii="Calibri" w:hAnsi="Calibri" w:cs="Arial"/>
          <w:color w:val="1E1324"/>
          <w:sz w:val="22"/>
          <w:szCs w:val="22"/>
          <w:lang w:val="en-US"/>
        </w:rPr>
        <w:t>Montenegro was in</w:t>
      </w:r>
      <w:r w:rsidR="0002394D" w:rsidRPr="00620367">
        <w:rPr>
          <w:rFonts w:ascii="Calibri" w:hAnsi="Calibri" w:cs="Arial"/>
          <w:color w:val="1E1324"/>
          <w:sz w:val="22"/>
          <w:szCs w:val="22"/>
          <w:lang w:val="en-US"/>
        </w:rPr>
        <w:t>:</w:t>
      </w:r>
    </w:p>
    <w:p w:rsidR="00A718CC" w:rsidRPr="00620367" w:rsidRDefault="0002394D" w:rsidP="00CE3EED">
      <w:pPr>
        <w:pStyle w:val="NormalWeb"/>
        <w:shd w:val="clear" w:color="auto" w:fill="F8F8F8"/>
        <w:spacing w:before="0" w:beforeAutospacing="0" w:after="375" w:afterAutospacing="0"/>
        <w:jc w:val="both"/>
        <w:rPr>
          <w:rFonts w:ascii="Calibri" w:hAnsi="Calibri" w:cs="Arial"/>
          <w:sz w:val="22"/>
          <w:szCs w:val="22"/>
          <w:lang w:val="en-US"/>
        </w:rPr>
      </w:pPr>
      <w:r w:rsidRPr="00620367">
        <w:rPr>
          <w:rFonts w:ascii="Calibri" w:hAnsi="Calibri" w:cs="Arial"/>
          <w:sz w:val="22"/>
          <w:szCs w:val="22"/>
          <w:lang w:val="en-US"/>
        </w:rPr>
        <w:t xml:space="preserve">2013 – </w:t>
      </w:r>
      <w:proofErr w:type="gramStart"/>
      <w:r w:rsidR="001C3832" w:rsidRPr="00620367">
        <w:rPr>
          <w:rFonts w:ascii="Calibri" w:hAnsi="Calibri" w:cs="Arial"/>
          <w:sz w:val="22"/>
          <w:szCs w:val="22"/>
          <w:lang w:val="en-US"/>
        </w:rPr>
        <w:t>ranked</w:t>
      </w:r>
      <w:proofErr w:type="gramEnd"/>
      <w:r w:rsidR="001C3832" w:rsidRPr="00620367">
        <w:rPr>
          <w:rFonts w:ascii="Calibri" w:hAnsi="Calibri" w:cs="Arial"/>
          <w:sz w:val="22"/>
          <w:szCs w:val="22"/>
          <w:lang w:val="en-US"/>
        </w:rPr>
        <w:t xml:space="preserve"> on </w:t>
      </w:r>
      <w:r w:rsidRPr="00620367">
        <w:rPr>
          <w:rFonts w:ascii="Calibri" w:hAnsi="Calibri" w:cs="Arial"/>
          <w:sz w:val="22"/>
          <w:szCs w:val="22"/>
          <w:lang w:val="en-US"/>
        </w:rPr>
        <w:t>67</w:t>
      </w:r>
      <w:r w:rsidR="001C3832" w:rsidRPr="00620367">
        <w:rPr>
          <w:rFonts w:ascii="Calibri" w:hAnsi="Calibri" w:cs="Arial"/>
          <w:sz w:val="22"/>
          <w:szCs w:val="22"/>
          <w:vertAlign w:val="superscript"/>
          <w:lang w:val="en-US"/>
        </w:rPr>
        <w:t>th</w:t>
      </w:r>
      <w:r w:rsidR="001C3832" w:rsidRPr="00620367">
        <w:rPr>
          <w:rFonts w:ascii="Calibri" w:hAnsi="Calibri" w:cs="Arial"/>
          <w:sz w:val="22"/>
          <w:szCs w:val="22"/>
          <w:lang w:val="en-US"/>
        </w:rPr>
        <w:t xml:space="preserve"> place among </w:t>
      </w:r>
      <w:r w:rsidRPr="00620367">
        <w:rPr>
          <w:rFonts w:ascii="Calibri" w:hAnsi="Calibri" w:cs="Arial"/>
          <w:sz w:val="22"/>
          <w:szCs w:val="22"/>
          <w:lang w:val="en-US"/>
        </w:rPr>
        <w:t xml:space="preserve">177 </w:t>
      </w:r>
      <w:r w:rsidR="001C3832" w:rsidRPr="00620367">
        <w:rPr>
          <w:rFonts w:ascii="Calibri" w:hAnsi="Calibri" w:cs="Arial"/>
          <w:sz w:val="22"/>
          <w:szCs w:val="22"/>
          <w:lang w:val="en-US"/>
        </w:rPr>
        <w:t>countries</w:t>
      </w:r>
    </w:p>
    <w:p w:rsidR="00A718CC" w:rsidRPr="00620367" w:rsidRDefault="0002394D" w:rsidP="00CE3EED">
      <w:pPr>
        <w:pStyle w:val="NormalWeb"/>
        <w:shd w:val="clear" w:color="auto" w:fill="F8F8F8"/>
        <w:spacing w:before="0" w:beforeAutospacing="0" w:after="375" w:afterAutospacing="0"/>
        <w:jc w:val="both"/>
        <w:rPr>
          <w:rFonts w:ascii="Calibri" w:hAnsi="Calibri" w:cs="Arial"/>
          <w:sz w:val="22"/>
          <w:szCs w:val="22"/>
          <w:lang w:val="en-US"/>
        </w:rPr>
      </w:pPr>
      <w:r w:rsidRPr="00620367">
        <w:rPr>
          <w:rFonts w:ascii="Calibri" w:hAnsi="Calibri" w:cs="Arial"/>
          <w:sz w:val="22"/>
          <w:szCs w:val="22"/>
          <w:lang w:val="en-US"/>
        </w:rPr>
        <w:t xml:space="preserve">2014 – </w:t>
      </w:r>
      <w:proofErr w:type="gramStart"/>
      <w:r w:rsidR="00F25F90" w:rsidRPr="00620367">
        <w:rPr>
          <w:rFonts w:ascii="Calibri" w:hAnsi="Calibri" w:cs="Arial"/>
          <w:sz w:val="22"/>
          <w:szCs w:val="22"/>
          <w:lang w:val="en-US"/>
        </w:rPr>
        <w:t>ranked</w:t>
      </w:r>
      <w:proofErr w:type="gramEnd"/>
      <w:r w:rsidR="00F25F90" w:rsidRPr="00620367">
        <w:rPr>
          <w:rFonts w:ascii="Calibri" w:hAnsi="Calibri" w:cs="Arial"/>
          <w:sz w:val="22"/>
          <w:szCs w:val="22"/>
          <w:lang w:val="en-US"/>
        </w:rPr>
        <w:t xml:space="preserve"> on </w:t>
      </w:r>
      <w:r w:rsidRPr="00620367">
        <w:rPr>
          <w:rFonts w:ascii="Calibri" w:hAnsi="Calibri" w:cs="Arial"/>
          <w:sz w:val="22"/>
          <w:szCs w:val="22"/>
          <w:lang w:val="en-US"/>
        </w:rPr>
        <w:t>76</w:t>
      </w:r>
      <w:r w:rsidR="00F25F90" w:rsidRPr="00620367">
        <w:rPr>
          <w:rFonts w:ascii="Calibri" w:hAnsi="Calibri" w:cs="Arial"/>
          <w:sz w:val="22"/>
          <w:szCs w:val="22"/>
          <w:vertAlign w:val="superscript"/>
          <w:lang w:val="en-US"/>
        </w:rPr>
        <w:t>th</w:t>
      </w:r>
      <w:r w:rsidR="00F25F90" w:rsidRPr="00620367">
        <w:rPr>
          <w:rFonts w:ascii="Calibri" w:hAnsi="Calibri" w:cs="Arial"/>
          <w:sz w:val="22"/>
          <w:szCs w:val="22"/>
          <w:lang w:val="en-US"/>
        </w:rPr>
        <w:t xml:space="preserve"> place among </w:t>
      </w:r>
      <w:r w:rsidRPr="00620367">
        <w:rPr>
          <w:rFonts w:ascii="Calibri" w:hAnsi="Calibri" w:cs="Arial"/>
          <w:sz w:val="22"/>
          <w:szCs w:val="22"/>
          <w:lang w:val="en-US"/>
        </w:rPr>
        <w:t xml:space="preserve">175 </w:t>
      </w:r>
      <w:r w:rsidR="00F25F90" w:rsidRPr="00620367">
        <w:rPr>
          <w:rFonts w:ascii="Calibri" w:hAnsi="Calibri" w:cs="Arial"/>
          <w:sz w:val="22"/>
          <w:szCs w:val="22"/>
          <w:lang w:val="en-US"/>
        </w:rPr>
        <w:t>countries</w:t>
      </w:r>
    </w:p>
    <w:p w:rsidR="0002394D" w:rsidRPr="00620367" w:rsidRDefault="0002394D" w:rsidP="00CE3EED">
      <w:pPr>
        <w:pStyle w:val="NormalWeb"/>
        <w:shd w:val="clear" w:color="auto" w:fill="F8F8F8"/>
        <w:spacing w:before="0" w:beforeAutospacing="0" w:after="375" w:afterAutospacing="0"/>
        <w:jc w:val="both"/>
        <w:rPr>
          <w:rFonts w:ascii="Calibri" w:hAnsi="Calibri" w:cs="Arial"/>
          <w:sz w:val="22"/>
          <w:szCs w:val="22"/>
          <w:lang w:val="en-US"/>
        </w:rPr>
      </w:pPr>
      <w:r w:rsidRPr="00620367">
        <w:rPr>
          <w:rFonts w:ascii="Calibri" w:hAnsi="Calibri" w:cs="Arial"/>
          <w:sz w:val="22"/>
          <w:szCs w:val="22"/>
          <w:lang w:val="en-US"/>
        </w:rPr>
        <w:t xml:space="preserve">2015 – </w:t>
      </w:r>
      <w:proofErr w:type="gramStart"/>
      <w:r w:rsidR="00F25F90" w:rsidRPr="00620367">
        <w:rPr>
          <w:rFonts w:ascii="Calibri" w:hAnsi="Calibri" w:cs="Arial"/>
          <w:sz w:val="22"/>
          <w:szCs w:val="22"/>
          <w:lang w:val="en-US"/>
        </w:rPr>
        <w:t>ranked</w:t>
      </w:r>
      <w:proofErr w:type="gramEnd"/>
      <w:r w:rsidR="00F25F90" w:rsidRPr="00620367">
        <w:rPr>
          <w:rFonts w:ascii="Calibri" w:hAnsi="Calibri" w:cs="Arial"/>
          <w:sz w:val="22"/>
          <w:szCs w:val="22"/>
          <w:lang w:val="en-US"/>
        </w:rPr>
        <w:t xml:space="preserve"> on </w:t>
      </w:r>
      <w:r w:rsidRPr="00620367">
        <w:rPr>
          <w:rFonts w:ascii="Calibri" w:hAnsi="Calibri" w:cs="Arial"/>
          <w:sz w:val="22"/>
          <w:szCs w:val="22"/>
          <w:lang w:val="en-US"/>
        </w:rPr>
        <w:t>61</w:t>
      </w:r>
      <w:r w:rsidR="00F25F90" w:rsidRPr="00620367">
        <w:rPr>
          <w:rFonts w:ascii="Calibri" w:hAnsi="Calibri" w:cs="Arial"/>
          <w:sz w:val="22"/>
          <w:szCs w:val="22"/>
          <w:vertAlign w:val="superscript"/>
          <w:lang w:val="en-US"/>
        </w:rPr>
        <w:t>st</w:t>
      </w:r>
      <w:r w:rsidR="00F25F90" w:rsidRPr="00620367">
        <w:rPr>
          <w:rFonts w:ascii="Calibri" w:hAnsi="Calibri" w:cs="Arial"/>
          <w:sz w:val="22"/>
          <w:szCs w:val="22"/>
          <w:lang w:val="en-US"/>
        </w:rPr>
        <w:t xml:space="preserve"> place among </w:t>
      </w:r>
      <w:r w:rsidRPr="00620367">
        <w:rPr>
          <w:rFonts w:ascii="Calibri" w:hAnsi="Calibri" w:cs="Arial"/>
          <w:sz w:val="22"/>
          <w:szCs w:val="22"/>
          <w:lang w:val="en-US"/>
        </w:rPr>
        <w:t>168</w:t>
      </w:r>
      <w:r w:rsidR="00F25F90" w:rsidRPr="00620367">
        <w:rPr>
          <w:rFonts w:ascii="Calibri" w:hAnsi="Calibri" w:cs="Arial"/>
          <w:sz w:val="22"/>
          <w:szCs w:val="22"/>
          <w:lang w:val="en-US"/>
        </w:rPr>
        <w:t xml:space="preserve"> countries</w:t>
      </w:r>
    </w:p>
    <w:p w:rsidR="00F25F90" w:rsidRPr="00620367" w:rsidRDefault="00F25F90" w:rsidP="00CE3EED">
      <w:pPr>
        <w:pStyle w:val="NormalWeb"/>
        <w:shd w:val="clear" w:color="auto" w:fill="F8F8F8"/>
        <w:spacing w:before="0" w:beforeAutospacing="0" w:after="375" w:afterAutospacing="0"/>
        <w:jc w:val="both"/>
        <w:rPr>
          <w:rFonts w:ascii="Calibri" w:hAnsi="Calibri" w:cs="Arial"/>
          <w:sz w:val="22"/>
          <w:szCs w:val="22"/>
          <w:lang w:val="en-US"/>
        </w:rPr>
      </w:pPr>
      <w:r w:rsidRPr="00620367">
        <w:rPr>
          <w:rFonts w:ascii="Calibri" w:hAnsi="Calibri" w:cs="Arial"/>
          <w:sz w:val="22"/>
          <w:szCs w:val="22"/>
          <w:lang w:val="en-US"/>
        </w:rPr>
        <w:t xml:space="preserve">2016 – </w:t>
      </w:r>
      <w:proofErr w:type="gramStart"/>
      <w:r w:rsidRPr="00620367">
        <w:rPr>
          <w:rFonts w:ascii="Calibri" w:hAnsi="Calibri" w:cs="Arial"/>
          <w:sz w:val="22"/>
          <w:szCs w:val="22"/>
          <w:lang w:val="en-US"/>
        </w:rPr>
        <w:t>ranked</w:t>
      </w:r>
      <w:proofErr w:type="gramEnd"/>
      <w:r w:rsidRPr="00620367">
        <w:rPr>
          <w:rFonts w:ascii="Calibri" w:hAnsi="Calibri" w:cs="Arial"/>
          <w:sz w:val="22"/>
          <w:szCs w:val="22"/>
          <w:lang w:val="en-US"/>
        </w:rPr>
        <w:t xml:space="preserve"> on 64</w:t>
      </w:r>
      <w:r w:rsidRPr="00620367">
        <w:rPr>
          <w:rFonts w:ascii="Calibri" w:hAnsi="Calibri" w:cs="Arial"/>
          <w:sz w:val="22"/>
          <w:szCs w:val="22"/>
          <w:vertAlign w:val="superscript"/>
          <w:lang w:val="en-US"/>
        </w:rPr>
        <w:t>th</w:t>
      </w:r>
      <w:r w:rsidRPr="00620367">
        <w:rPr>
          <w:rFonts w:ascii="Calibri" w:hAnsi="Calibri" w:cs="Arial"/>
          <w:sz w:val="22"/>
          <w:szCs w:val="22"/>
          <w:lang w:val="en-US"/>
        </w:rPr>
        <w:t xml:space="preserve"> place among 176 countries</w:t>
      </w:r>
    </w:p>
    <w:p w:rsidR="001B0C49" w:rsidRPr="00620367" w:rsidRDefault="00531AAD" w:rsidP="00CE3EED">
      <w:pPr>
        <w:jc w:val="both"/>
        <w:rPr>
          <w:rFonts w:ascii="Calibri" w:hAnsi="Calibri" w:cs="Arial"/>
          <w:b/>
          <w:lang w:val="en-US"/>
        </w:rPr>
      </w:pPr>
      <w:r w:rsidRPr="00620367">
        <w:rPr>
          <w:rFonts w:ascii="Calibri" w:hAnsi="Calibri" w:cs="Arial"/>
          <w:b/>
          <w:lang w:val="en-US"/>
        </w:rPr>
        <w:t>The role of IFIs, American Chamber of Commerce, and other actors</w:t>
      </w:r>
      <w:r w:rsidR="001B0C49" w:rsidRPr="00620367">
        <w:rPr>
          <w:rFonts w:ascii="Calibri" w:hAnsi="Calibri" w:cs="Arial"/>
          <w:b/>
          <w:lang w:val="en-US"/>
        </w:rPr>
        <w:t xml:space="preserve">, </w:t>
      </w:r>
      <w:r w:rsidRPr="00620367">
        <w:rPr>
          <w:rFonts w:ascii="Calibri" w:hAnsi="Calibri" w:cs="Arial"/>
          <w:b/>
          <w:lang w:val="en-US"/>
        </w:rPr>
        <w:t>Austerity measures and effects on economy</w:t>
      </w:r>
    </w:p>
    <w:p w:rsidR="00A718CC" w:rsidRPr="00620367" w:rsidRDefault="00D6429E" w:rsidP="00CE3EED">
      <w:pPr>
        <w:jc w:val="both"/>
        <w:rPr>
          <w:rFonts w:ascii="Calibri" w:hAnsi="Calibri" w:cs="Arial"/>
          <w:lang w:val="en-US"/>
        </w:rPr>
      </w:pPr>
      <w:r w:rsidRPr="00620367">
        <w:rPr>
          <w:rFonts w:ascii="Calibri" w:hAnsi="Calibri" w:cs="Arial"/>
          <w:lang w:val="en-US"/>
        </w:rPr>
        <w:t>The leading foreign business associations in Montenegro are</w:t>
      </w:r>
      <w:r w:rsidR="001B0C49" w:rsidRPr="00620367">
        <w:rPr>
          <w:rFonts w:ascii="Calibri" w:hAnsi="Calibri" w:cs="Arial"/>
          <w:lang w:val="en-US"/>
        </w:rPr>
        <w:t>: Ameri</w:t>
      </w:r>
      <w:r w:rsidRPr="00620367">
        <w:rPr>
          <w:rFonts w:ascii="Calibri" w:hAnsi="Calibri" w:cs="Arial"/>
          <w:lang w:val="en-US"/>
        </w:rPr>
        <w:t>can Chamber of Commerce and Council of Foreign Investors</w:t>
      </w:r>
      <w:r w:rsidR="001B0C49" w:rsidRPr="00620367">
        <w:rPr>
          <w:rFonts w:ascii="Calibri" w:hAnsi="Calibri" w:cs="Arial"/>
          <w:lang w:val="en-US"/>
        </w:rPr>
        <w:t>.</w:t>
      </w:r>
    </w:p>
    <w:p w:rsidR="001B0C49" w:rsidRPr="00620367" w:rsidRDefault="00D6429E" w:rsidP="00CE3EED">
      <w:pPr>
        <w:jc w:val="both"/>
        <w:rPr>
          <w:rFonts w:ascii="Calibri" w:hAnsi="Calibri" w:cs="Arial"/>
          <w:lang w:val="en-US"/>
        </w:rPr>
      </w:pPr>
      <w:r w:rsidRPr="00620367">
        <w:rPr>
          <w:rFonts w:ascii="Calibri" w:hAnsi="Calibri" w:cs="Arial"/>
          <w:lang w:val="en-US"/>
        </w:rPr>
        <w:t>IMF and World Bank are also present with their annual visits and reports in which they project movements in the economy as well as recommendations for achievement of certain goals and objectives</w:t>
      </w:r>
      <w:r w:rsidR="008A39F5" w:rsidRPr="00620367">
        <w:rPr>
          <w:rFonts w:ascii="Calibri" w:hAnsi="Calibri" w:cs="Arial"/>
          <w:lang w:val="en-US"/>
        </w:rPr>
        <w:t xml:space="preserve">. </w:t>
      </w:r>
      <w:r w:rsidRPr="00620367">
        <w:rPr>
          <w:rFonts w:ascii="Calibri" w:hAnsi="Calibri" w:cs="Arial"/>
          <w:lang w:val="en-US"/>
        </w:rPr>
        <w:t xml:space="preserve">IMF recommendations were used for the design of Fiscal strategy for </w:t>
      </w:r>
      <w:r w:rsidR="008A1AE9" w:rsidRPr="00620367">
        <w:rPr>
          <w:rFonts w:ascii="Calibri" w:hAnsi="Calibri" w:cs="Arial"/>
          <w:lang w:val="en-US"/>
        </w:rPr>
        <w:t>2017-20</w:t>
      </w:r>
      <w:r w:rsidR="00943C6F" w:rsidRPr="00620367">
        <w:rPr>
          <w:rFonts w:ascii="Calibri" w:hAnsi="Calibri" w:cs="Arial"/>
          <w:lang w:val="en-US"/>
        </w:rPr>
        <w:t>20</w:t>
      </w:r>
      <w:r w:rsidRPr="00620367">
        <w:rPr>
          <w:rFonts w:ascii="Calibri" w:hAnsi="Calibri" w:cs="Arial"/>
          <w:lang w:val="en-US"/>
        </w:rPr>
        <w:t>, and they were the basis for the design of the credible plan of fiscal consolidation and improvement of fiscal policy</w:t>
      </w:r>
      <w:r w:rsidR="00943C6F" w:rsidRPr="00620367">
        <w:rPr>
          <w:rFonts w:ascii="Calibri" w:hAnsi="Calibri" w:cs="Arial"/>
          <w:lang w:val="en-US"/>
        </w:rPr>
        <w:t xml:space="preserve">. </w:t>
      </w:r>
      <w:r w:rsidRPr="00620367">
        <w:rPr>
          <w:rFonts w:ascii="Calibri" w:hAnsi="Calibri" w:cs="Arial"/>
          <w:lang w:val="en-US"/>
        </w:rPr>
        <w:t>IMF also provides a technical assistance for the continuation of the implementation of midterm strategy of debt management</w:t>
      </w:r>
      <w:r w:rsidR="00943C6F" w:rsidRPr="00620367">
        <w:rPr>
          <w:rFonts w:ascii="Calibri" w:hAnsi="Calibri" w:cs="Arial"/>
          <w:lang w:val="en-US"/>
        </w:rPr>
        <w:t xml:space="preserve">. </w:t>
      </w:r>
      <w:r w:rsidRPr="00620367">
        <w:rPr>
          <w:rFonts w:ascii="Calibri" w:hAnsi="Calibri" w:cs="Arial"/>
          <w:lang w:val="en-US"/>
        </w:rPr>
        <w:t xml:space="preserve">World Bank has more of </w:t>
      </w:r>
      <w:proofErr w:type="gramStart"/>
      <w:r w:rsidRPr="00620367">
        <w:rPr>
          <w:rFonts w:ascii="Calibri" w:hAnsi="Calibri" w:cs="Arial"/>
          <w:lang w:val="en-US"/>
        </w:rPr>
        <w:t>a</w:t>
      </w:r>
      <w:proofErr w:type="gramEnd"/>
      <w:r w:rsidRPr="00620367">
        <w:rPr>
          <w:rFonts w:ascii="Calibri" w:hAnsi="Calibri" w:cs="Arial"/>
          <w:lang w:val="en-US"/>
        </w:rPr>
        <w:t xml:space="preserve"> institutional rather than financial power and shows less bureaucratic determination during their visits as someone who wishes to help</w:t>
      </w:r>
      <w:r w:rsidR="00D76A02" w:rsidRPr="00620367">
        <w:rPr>
          <w:rFonts w:ascii="Calibri" w:hAnsi="Calibri" w:cs="Arial"/>
          <w:lang w:val="en-US"/>
        </w:rPr>
        <w:t>,</w:t>
      </w:r>
      <w:r w:rsidRPr="00620367">
        <w:rPr>
          <w:rFonts w:ascii="Calibri" w:hAnsi="Calibri" w:cs="Arial"/>
          <w:lang w:val="en-US"/>
        </w:rPr>
        <w:t xml:space="preserve"> compared to other similar organizations, including IMF</w:t>
      </w:r>
      <w:r w:rsidR="008A1AE9" w:rsidRPr="00620367">
        <w:rPr>
          <w:rFonts w:ascii="Calibri" w:hAnsi="Calibri" w:cs="Arial"/>
          <w:lang w:val="en-US"/>
        </w:rPr>
        <w:t>.</w:t>
      </w:r>
    </w:p>
    <w:p w:rsidR="001B0C49" w:rsidRPr="00620367" w:rsidRDefault="00EB6ADD" w:rsidP="00CE3EED">
      <w:pPr>
        <w:jc w:val="both"/>
        <w:rPr>
          <w:rFonts w:ascii="Calibri" w:hAnsi="Calibri" w:cs="Arial"/>
          <w:lang w:val="en-US"/>
        </w:rPr>
      </w:pPr>
      <w:r w:rsidRPr="00620367">
        <w:rPr>
          <w:rFonts w:ascii="Calibri" w:hAnsi="Calibri" w:cs="Arial"/>
          <w:lang w:val="en-US"/>
        </w:rPr>
        <w:lastRenderedPageBreak/>
        <w:t>The key roles of the Council of Foreign Investors and American Chamber of Commerce were to establish stimulating and attractive business environment in the country</w:t>
      </w:r>
      <w:r w:rsidR="001B0C49" w:rsidRPr="00620367">
        <w:rPr>
          <w:rFonts w:ascii="Calibri" w:hAnsi="Calibri" w:cs="Arial"/>
          <w:lang w:val="en-US"/>
        </w:rPr>
        <w:t>.</w:t>
      </w:r>
    </w:p>
    <w:p w:rsidR="00FD3D51" w:rsidRPr="00620367" w:rsidRDefault="005E002E" w:rsidP="00CE3EED">
      <w:pPr>
        <w:jc w:val="both"/>
        <w:rPr>
          <w:rFonts w:ascii="Calibri" w:eastAsia="Times New Roman" w:hAnsi="Calibri" w:cs="Arial"/>
          <w:b/>
          <w:color w:val="333333"/>
          <w:lang w:val="en-US" w:eastAsia="uz-Cyrl-UZ"/>
        </w:rPr>
      </w:pPr>
      <w:r w:rsidRPr="00620367">
        <w:rPr>
          <w:rFonts w:ascii="Calibri" w:eastAsia="Times New Roman" w:hAnsi="Calibri" w:cs="Arial"/>
          <w:iCs/>
          <w:color w:val="333333"/>
          <w:bdr w:val="none" w:sz="0" w:space="0" w:color="auto" w:frame="1"/>
          <w:lang w:val="en-US" w:eastAsia="uz-Cyrl-UZ"/>
        </w:rPr>
        <w:t>The American Chamber of Commerce assessed that the key preconditions for the improvement of business environment are intensive cooperation and timely consultation between decision makers and business community in Montenegro</w:t>
      </w:r>
      <w:r w:rsidR="00523DD3" w:rsidRPr="00620367">
        <w:rPr>
          <w:rFonts w:ascii="Calibri" w:eastAsia="Times New Roman" w:hAnsi="Calibri" w:cs="Arial"/>
          <w:iCs/>
          <w:color w:val="333333"/>
          <w:bdr w:val="none" w:sz="0" w:space="0" w:color="auto" w:frame="1"/>
          <w:lang w:val="en-US" w:eastAsia="uz-Cyrl-UZ"/>
        </w:rPr>
        <w:t>.</w:t>
      </w:r>
    </w:p>
    <w:p w:rsidR="00943C6F" w:rsidRPr="00620367" w:rsidRDefault="005E002E" w:rsidP="00CE3EED">
      <w:pPr>
        <w:jc w:val="both"/>
        <w:rPr>
          <w:rFonts w:ascii="Calibri" w:hAnsi="Calibri" w:cs="Arial"/>
          <w:lang w:val="en-US"/>
        </w:rPr>
      </w:pPr>
      <w:r w:rsidRPr="00620367">
        <w:rPr>
          <w:rFonts w:ascii="Calibri" w:eastAsia="Times New Roman" w:hAnsi="Calibri" w:cs="Arial"/>
          <w:color w:val="333333"/>
          <w:lang w:val="en-US" w:eastAsia="uz-Cyrl-UZ"/>
        </w:rPr>
        <w:t>A huge relevance lies on the predictable and transparent business environment, given that only such an environment is a guarantee that the current investors will be kept in the country, but also that the new ones will be attracted</w:t>
      </w:r>
      <w:r w:rsidR="00FD3D51" w:rsidRPr="00620367">
        <w:rPr>
          <w:rFonts w:ascii="Calibri" w:hAnsi="Calibri" w:cs="Arial"/>
          <w:lang w:val="en-US"/>
        </w:rPr>
        <w:t xml:space="preserve">. </w:t>
      </w:r>
      <w:r w:rsidRPr="00620367">
        <w:rPr>
          <w:rFonts w:ascii="Calibri" w:hAnsi="Calibri" w:cs="Arial"/>
          <w:lang w:val="en-US"/>
        </w:rPr>
        <w:t>Valid tax rates, identified by foreign companies – members of the American Chamber of Commerce, are the most attractive elements of business in Montenegro</w:t>
      </w:r>
      <w:r w:rsidR="00FD3D51" w:rsidRPr="00620367">
        <w:rPr>
          <w:rFonts w:ascii="Calibri" w:hAnsi="Calibri" w:cs="Arial"/>
          <w:lang w:val="en-US"/>
        </w:rPr>
        <w:t>.</w:t>
      </w:r>
    </w:p>
    <w:p w:rsidR="00877A8E" w:rsidRPr="00620367" w:rsidRDefault="00877A8E" w:rsidP="00CE3EED">
      <w:pPr>
        <w:jc w:val="both"/>
        <w:rPr>
          <w:rFonts w:ascii="Calibri" w:hAnsi="Calibri" w:cs="Arial"/>
          <w:lang w:val="en-US"/>
        </w:rPr>
      </w:pPr>
      <w:r w:rsidRPr="00620367">
        <w:rPr>
          <w:rFonts w:ascii="Calibri" w:hAnsi="Calibri"/>
          <w:color w:val="000000"/>
          <w:lang w:val="en-US"/>
        </w:rPr>
        <w:t>Ameri</w:t>
      </w:r>
      <w:r w:rsidR="005E002E" w:rsidRPr="00620367">
        <w:rPr>
          <w:rFonts w:ascii="Calibri" w:hAnsi="Calibri"/>
          <w:color w:val="000000"/>
          <w:lang w:val="en-US"/>
        </w:rPr>
        <w:t>can Chamber of Commerce has a strong influence on the Montenegrin Government and their demands are mainly acknowledged through various laws, particularly Labor law</w:t>
      </w:r>
      <w:r w:rsidRPr="00620367">
        <w:rPr>
          <w:rFonts w:ascii="Calibri" w:hAnsi="Calibri"/>
          <w:color w:val="000000"/>
          <w:lang w:val="en-US"/>
        </w:rPr>
        <w:t>. Ameri</w:t>
      </w:r>
      <w:r w:rsidR="005E002E" w:rsidRPr="00620367">
        <w:rPr>
          <w:rFonts w:ascii="Calibri" w:hAnsi="Calibri"/>
          <w:color w:val="000000"/>
          <w:lang w:val="en-US"/>
        </w:rPr>
        <w:t>can Chamber of Commerce does not have major companies in Montenegro</w:t>
      </w:r>
      <w:r w:rsidRPr="00620367">
        <w:rPr>
          <w:rFonts w:ascii="Calibri" w:hAnsi="Calibri"/>
          <w:color w:val="000000"/>
          <w:lang w:val="en-US"/>
        </w:rPr>
        <w:t xml:space="preserve">, </w:t>
      </w:r>
      <w:r w:rsidR="005E002E" w:rsidRPr="00620367">
        <w:rPr>
          <w:rFonts w:ascii="Calibri" w:hAnsi="Calibri"/>
          <w:color w:val="000000"/>
          <w:lang w:val="en-US"/>
        </w:rPr>
        <w:t>but rather its members are subsidiaries of the multinational companies</w:t>
      </w:r>
      <w:r w:rsidRPr="00620367">
        <w:rPr>
          <w:rFonts w:ascii="Calibri" w:hAnsi="Calibri"/>
          <w:color w:val="000000"/>
          <w:lang w:val="en-US"/>
        </w:rPr>
        <w:t>.</w:t>
      </w:r>
    </w:p>
    <w:p w:rsidR="008132CB" w:rsidRPr="00620367" w:rsidRDefault="00D47806" w:rsidP="00CE3EED">
      <w:pPr>
        <w:jc w:val="both"/>
        <w:rPr>
          <w:rFonts w:ascii="Calibri" w:hAnsi="Calibri" w:cs="Arial"/>
          <w:lang w:val="en-US"/>
        </w:rPr>
      </w:pPr>
      <w:r w:rsidRPr="00620367">
        <w:rPr>
          <w:rFonts w:ascii="Calibri" w:hAnsi="Calibri" w:cs="Arial"/>
          <w:lang w:val="en-US"/>
        </w:rPr>
        <w:t>The Government is committed to the austerity measures in order to reduce the public debt</w:t>
      </w:r>
      <w:r w:rsidR="00131673" w:rsidRPr="00620367">
        <w:rPr>
          <w:rFonts w:ascii="Calibri" w:hAnsi="Calibri" w:cs="Arial"/>
          <w:lang w:val="en-US"/>
        </w:rPr>
        <w:t>, and also in course of the first year cut in half the deficit in budget</w:t>
      </w:r>
      <w:r w:rsidR="008132CB" w:rsidRPr="00620367">
        <w:rPr>
          <w:rFonts w:ascii="Calibri" w:hAnsi="Calibri" w:cs="Arial"/>
          <w:lang w:val="en-US"/>
        </w:rPr>
        <w:t xml:space="preserve">, </w:t>
      </w:r>
      <w:r w:rsidR="00131673" w:rsidRPr="00620367">
        <w:rPr>
          <w:rFonts w:ascii="Calibri" w:hAnsi="Calibri" w:cs="Arial"/>
          <w:lang w:val="en-US"/>
        </w:rPr>
        <w:t xml:space="preserve">once it in December </w:t>
      </w:r>
      <w:r w:rsidR="008132CB" w:rsidRPr="00620367">
        <w:rPr>
          <w:rFonts w:ascii="Calibri" w:hAnsi="Calibri" w:cs="Arial"/>
          <w:lang w:val="en-US"/>
        </w:rPr>
        <w:t>2016</w:t>
      </w:r>
      <w:r w:rsidR="00131673" w:rsidRPr="00620367">
        <w:rPr>
          <w:rFonts w:ascii="Calibri" w:hAnsi="Calibri" w:cs="Arial"/>
          <w:lang w:val="en-US"/>
        </w:rPr>
        <w:t>, along with the budget, it adopted that Plan for recovery</w:t>
      </w:r>
      <w:r w:rsidR="008132CB" w:rsidRPr="00620367">
        <w:rPr>
          <w:rFonts w:ascii="Calibri" w:hAnsi="Calibri" w:cs="Arial"/>
          <w:lang w:val="en-US"/>
        </w:rPr>
        <w:t xml:space="preserve">. </w:t>
      </w:r>
      <w:r w:rsidR="00131673" w:rsidRPr="00620367">
        <w:rPr>
          <w:rFonts w:ascii="Calibri" w:hAnsi="Calibri" w:cs="Arial"/>
          <w:lang w:val="en-US"/>
        </w:rPr>
        <w:t xml:space="preserve">Then, in July </w:t>
      </w:r>
      <w:r w:rsidR="008132CB" w:rsidRPr="00620367">
        <w:rPr>
          <w:rFonts w:ascii="Calibri" w:hAnsi="Calibri" w:cs="Arial"/>
          <w:lang w:val="en-US"/>
        </w:rPr>
        <w:t>2017</w:t>
      </w:r>
      <w:r w:rsidR="00131673" w:rsidRPr="00620367">
        <w:rPr>
          <w:rFonts w:ascii="Calibri" w:hAnsi="Calibri" w:cs="Arial"/>
          <w:lang w:val="en-US"/>
        </w:rPr>
        <w:t xml:space="preserve">, the Government adopted the Fiscal strategy for </w:t>
      </w:r>
      <w:r w:rsidR="008132CB" w:rsidRPr="00620367">
        <w:rPr>
          <w:rFonts w:ascii="Calibri" w:hAnsi="Calibri" w:cs="Arial"/>
          <w:lang w:val="en-US"/>
        </w:rPr>
        <w:t>2017-2020</w:t>
      </w:r>
      <w:r w:rsidR="00131673" w:rsidRPr="00620367">
        <w:rPr>
          <w:rFonts w:ascii="Calibri" w:hAnsi="Calibri" w:cs="Arial"/>
          <w:lang w:val="en-US"/>
        </w:rPr>
        <w:t xml:space="preserve"> with the following measures</w:t>
      </w:r>
      <w:r w:rsidR="008132CB" w:rsidRPr="00620367">
        <w:rPr>
          <w:rFonts w:ascii="Calibri" w:hAnsi="Calibri" w:cs="Arial"/>
          <w:lang w:val="en-US"/>
        </w:rPr>
        <w:t xml:space="preserve">: </w:t>
      </w:r>
      <w:r w:rsidR="00131673" w:rsidRPr="00620367">
        <w:rPr>
          <w:rFonts w:ascii="Calibri" w:hAnsi="Calibri" w:cs="Arial"/>
          <w:lang w:val="en-US"/>
        </w:rPr>
        <w:t xml:space="preserve">increase of the general VAT rate from </w:t>
      </w:r>
      <w:r w:rsidR="008132CB" w:rsidRPr="00620367">
        <w:rPr>
          <w:rFonts w:ascii="Calibri" w:hAnsi="Calibri" w:cs="Arial"/>
          <w:lang w:val="en-US"/>
        </w:rPr>
        <w:t>19</w:t>
      </w:r>
      <w:r w:rsidR="00131673" w:rsidRPr="00620367">
        <w:rPr>
          <w:rFonts w:ascii="Calibri" w:hAnsi="Calibri" w:cs="Arial"/>
          <w:lang w:val="en-US"/>
        </w:rPr>
        <w:t>%</w:t>
      </w:r>
      <w:r w:rsidR="008132CB" w:rsidRPr="00620367">
        <w:rPr>
          <w:rFonts w:ascii="Calibri" w:hAnsi="Calibri" w:cs="Arial"/>
          <w:lang w:val="en-US"/>
        </w:rPr>
        <w:t xml:space="preserve"> </w:t>
      </w:r>
      <w:r w:rsidR="00131673" w:rsidRPr="00620367">
        <w:rPr>
          <w:rFonts w:ascii="Calibri" w:hAnsi="Calibri" w:cs="Arial"/>
          <w:lang w:val="en-US"/>
        </w:rPr>
        <w:t xml:space="preserve">to </w:t>
      </w:r>
      <w:r w:rsidR="008132CB" w:rsidRPr="00620367">
        <w:rPr>
          <w:rFonts w:ascii="Calibri" w:hAnsi="Calibri" w:cs="Arial"/>
          <w:lang w:val="en-US"/>
        </w:rPr>
        <w:t xml:space="preserve">21% </w:t>
      </w:r>
      <w:r w:rsidR="00131673" w:rsidRPr="00620367">
        <w:rPr>
          <w:rFonts w:ascii="Calibri" w:hAnsi="Calibri" w:cs="Arial"/>
          <w:lang w:val="en-US"/>
        </w:rPr>
        <w:t xml:space="preserve">as of </w:t>
      </w:r>
      <w:r w:rsidR="008132CB" w:rsidRPr="00620367">
        <w:rPr>
          <w:rFonts w:ascii="Calibri" w:hAnsi="Calibri" w:cs="Arial"/>
          <w:lang w:val="en-US"/>
        </w:rPr>
        <w:t>1</w:t>
      </w:r>
      <w:r w:rsidR="00131673" w:rsidRPr="00620367">
        <w:rPr>
          <w:rFonts w:ascii="Calibri" w:hAnsi="Calibri" w:cs="Arial"/>
          <w:lang w:val="en-US"/>
        </w:rPr>
        <w:t xml:space="preserve"> January </w:t>
      </w:r>
      <w:r w:rsidR="008132CB" w:rsidRPr="00620367">
        <w:rPr>
          <w:rFonts w:ascii="Calibri" w:hAnsi="Calibri" w:cs="Arial"/>
          <w:lang w:val="en-US"/>
        </w:rPr>
        <w:t xml:space="preserve">2018; </w:t>
      </w:r>
      <w:r w:rsidR="00131673" w:rsidRPr="00620367">
        <w:rPr>
          <w:rFonts w:ascii="Calibri" w:hAnsi="Calibri" w:cs="Arial"/>
          <w:lang w:val="en-US"/>
        </w:rPr>
        <w:t>excise duties on tobacco, alcohol, beverages and sweet carbonated water were increased</w:t>
      </w:r>
      <w:r w:rsidR="008132CB" w:rsidRPr="00620367">
        <w:rPr>
          <w:rFonts w:ascii="Calibri" w:hAnsi="Calibri" w:cs="Arial"/>
          <w:lang w:val="en-US"/>
        </w:rPr>
        <w:t xml:space="preserve">; </w:t>
      </w:r>
      <w:r w:rsidR="00131673" w:rsidRPr="00620367">
        <w:rPr>
          <w:rFonts w:ascii="Calibri" w:hAnsi="Calibri" w:cs="Arial"/>
          <w:lang w:val="en-US"/>
        </w:rPr>
        <w:t xml:space="preserve">stopping the employment in </w:t>
      </w:r>
      <w:proofErr w:type="spellStart"/>
      <w:r w:rsidR="00131673" w:rsidRPr="00620367">
        <w:rPr>
          <w:rFonts w:ascii="Calibri" w:hAnsi="Calibri" w:cs="Arial"/>
          <w:lang w:val="en-US"/>
        </w:rPr>
        <w:t>pubic</w:t>
      </w:r>
      <w:proofErr w:type="spellEnd"/>
      <w:r w:rsidR="00131673" w:rsidRPr="00620367">
        <w:rPr>
          <w:rFonts w:ascii="Calibri" w:hAnsi="Calibri" w:cs="Arial"/>
          <w:lang w:val="en-US"/>
        </w:rPr>
        <w:t xml:space="preserve"> sector </w:t>
      </w:r>
      <w:r w:rsidR="008132CB" w:rsidRPr="00620367">
        <w:rPr>
          <w:rFonts w:ascii="Calibri" w:hAnsi="Calibri" w:cs="Arial"/>
          <w:lang w:val="en-US"/>
        </w:rPr>
        <w:t>(</w:t>
      </w:r>
      <w:r w:rsidR="000613A8" w:rsidRPr="00620367">
        <w:rPr>
          <w:rFonts w:ascii="Calibri" w:hAnsi="Calibri" w:cs="Arial"/>
          <w:lang w:val="en-US"/>
        </w:rPr>
        <w:t>in a way that the natural departure of three employees will be replaced by only one new employee</w:t>
      </w:r>
      <w:r w:rsidR="008132CB" w:rsidRPr="00620367">
        <w:rPr>
          <w:rFonts w:ascii="Calibri" w:hAnsi="Calibri" w:cs="Arial"/>
          <w:lang w:val="en-US"/>
        </w:rPr>
        <w:t xml:space="preserve">); </w:t>
      </w:r>
      <w:r w:rsidR="000613A8" w:rsidRPr="00620367">
        <w:rPr>
          <w:rFonts w:ascii="Calibri" w:hAnsi="Calibri" w:cs="Arial"/>
          <w:lang w:val="en-US"/>
        </w:rPr>
        <w:t xml:space="preserve">high wages of state officials were reduced significantly by </w:t>
      </w:r>
      <w:r w:rsidR="008132CB" w:rsidRPr="00620367">
        <w:rPr>
          <w:rFonts w:ascii="Calibri" w:hAnsi="Calibri" w:cs="Arial"/>
          <w:lang w:val="en-US"/>
        </w:rPr>
        <w:t>6%</w:t>
      </w:r>
      <w:r w:rsidR="000613A8" w:rsidRPr="00620367">
        <w:rPr>
          <w:rFonts w:ascii="Calibri" w:hAnsi="Calibri" w:cs="Arial"/>
          <w:lang w:val="en-US"/>
        </w:rPr>
        <w:t>, and the measure without any competition for this year – benefit for mother with three or more children was terminated</w:t>
      </w:r>
      <w:r w:rsidR="008132CB" w:rsidRPr="00620367">
        <w:rPr>
          <w:rFonts w:ascii="Calibri" w:hAnsi="Calibri" w:cs="Arial"/>
          <w:lang w:val="en-US"/>
        </w:rPr>
        <w:t>.</w:t>
      </w:r>
    </w:p>
    <w:p w:rsidR="008132CB" w:rsidRPr="00620367" w:rsidRDefault="000613A8" w:rsidP="00CE3EED">
      <w:pPr>
        <w:jc w:val="both"/>
        <w:rPr>
          <w:rFonts w:ascii="Calibri" w:hAnsi="Calibri" w:cs="Arial"/>
          <w:lang w:val="en-US"/>
        </w:rPr>
      </w:pPr>
      <w:r w:rsidRPr="00620367">
        <w:rPr>
          <w:rFonts w:ascii="Calibri" w:hAnsi="Calibri" w:cs="Arial"/>
          <w:lang w:val="en-US"/>
        </w:rPr>
        <w:t xml:space="preserve">The renowned credit agency </w:t>
      </w:r>
      <w:proofErr w:type="spellStart"/>
      <w:r w:rsidR="008132CB" w:rsidRPr="00620367">
        <w:rPr>
          <w:rFonts w:ascii="Calibri" w:hAnsi="Calibri" w:cs="Arial"/>
          <w:lang w:val="en-US"/>
        </w:rPr>
        <w:t>Moodys</w:t>
      </w:r>
      <w:proofErr w:type="spellEnd"/>
      <w:r w:rsidR="008132CB" w:rsidRPr="00620367">
        <w:rPr>
          <w:rFonts w:ascii="Calibri" w:hAnsi="Calibri" w:cs="Arial"/>
          <w:lang w:val="en-US"/>
        </w:rPr>
        <w:t xml:space="preserve"> </w:t>
      </w:r>
      <w:r w:rsidRPr="00620367">
        <w:rPr>
          <w:rFonts w:ascii="Calibri" w:hAnsi="Calibri" w:cs="Arial"/>
          <w:lang w:val="en-US"/>
        </w:rPr>
        <w:t>increased the credit rating of Montenegro from the B1 negative to B1 stable</w:t>
      </w:r>
      <w:r w:rsidR="008132CB" w:rsidRPr="00620367">
        <w:rPr>
          <w:rFonts w:ascii="Calibri" w:hAnsi="Calibri" w:cs="Arial"/>
          <w:lang w:val="en-US"/>
        </w:rPr>
        <w:t xml:space="preserve">, </w:t>
      </w:r>
      <w:r w:rsidRPr="00620367">
        <w:rPr>
          <w:rFonts w:ascii="Calibri" w:hAnsi="Calibri" w:cs="Arial"/>
          <w:lang w:val="en-US"/>
        </w:rPr>
        <w:t>and thus sent a clear message to financial markets that the Montenegrin economy is in its upward direction. World Economic Forum placed us on the 77</w:t>
      </w:r>
      <w:r w:rsidRPr="00620367">
        <w:rPr>
          <w:rFonts w:ascii="Calibri" w:hAnsi="Calibri" w:cs="Arial"/>
          <w:vertAlign w:val="superscript"/>
          <w:lang w:val="en-US"/>
        </w:rPr>
        <w:t>th</w:t>
      </w:r>
      <w:r w:rsidRPr="00620367">
        <w:rPr>
          <w:rFonts w:ascii="Calibri" w:hAnsi="Calibri" w:cs="Arial"/>
          <w:lang w:val="en-US"/>
        </w:rPr>
        <w:t xml:space="preserve"> place of the list of competitiveness</w:t>
      </w:r>
      <w:r w:rsidR="005147BE" w:rsidRPr="00620367">
        <w:rPr>
          <w:rFonts w:ascii="Calibri" w:hAnsi="Calibri" w:cs="Arial"/>
          <w:lang w:val="en-US"/>
        </w:rPr>
        <w:t>, compared to the 82</w:t>
      </w:r>
      <w:r w:rsidR="005147BE" w:rsidRPr="00620367">
        <w:rPr>
          <w:rFonts w:ascii="Calibri" w:hAnsi="Calibri" w:cs="Arial"/>
          <w:vertAlign w:val="superscript"/>
          <w:lang w:val="en-US"/>
        </w:rPr>
        <w:t>nd</w:t>
      </w:r>
      <w:r w:rsidR="005147BE" w:rsidRPr="00620367">
        <w:rPr>
          <w:rFonts w:ascii="Calibri" w:hAnsi="Calibri" w:cs="Arial"/>
          <w:lang w:val="en-US"/>
        </w:rPr>
        <w:t xml:space="preserve"> place Montenegro had last year</w:t>
      </w:r>
      <w:r w:rsidR="008132CB" w:rsidRPr="00620367">
        <w:rPr>
          <w:rFonts w:ascii="Calibri" w:hAnsi="Calibri" w:cs="Arial"/>
          <w:lang w:val="en-US"/>
        </w:rPr>
        <w:t>.</w:t>
      </w:r>
    </w:p>
    <w:p w:rsidR="006C4204" w:rsidRPr="00620367" w:rsidRDefault="005147BE" w:rsidP="00CE3EED">
      <w:pPr>
        <w:jc w:val="both"/>
        <w:rPr>
          <w:rFonts w:ascii="Calibri" w:hAnsi="Calibri" w:cs="Arial"/>
          <w:b/>
          <w:lang w:val="en-US"/>
        </w:rPr>
      </w:pPr>
      <w:r w:rsidRPr="00620367">
        <w:rPr>
          <w:rFonts w:ascii="Calibri" w:hAnsi="Calibri" w:cs="Arial"/>
          <w:b/>
          <w:lang w:val="en-US"/>
        </w:rPr>
        <w:t xml:space="preserve">At the Board for economy, finances and budget </w:t>
      </w:r>
      <w:r w:rsidR="006C4204" w:rsidRPr="00620367">
        <w:rPr>
          <w:rFonts w:ascii="Calibri" w:hAnsi="Calibri" w:cs="Arial"/>
          <w:b/>
          <w:lang w:val="en-US"/>
        </w:rPr>
        <w:t>(</w:t>
      </w:r>
      <w:r w:rsidRPr="00620367">
        <w:rPr>
          <w:rFonts w:ascii="Calibri" w:hAnsi="Calibri" w:cs="Arial"/>
          <w:b/>
          <w:lang w:val="en-US"/>
        </w:rPr>
        <w:t xml:space="preserve">held on </w:t>
      </w:r>
      <w:r w:rsidR="006C4204" w:rsidRPr="00620367">
        <w:rPr>
          <w:rFonts w:ascii="Calibri" w:hAnsi="Calibri" w:cs="Arial"/>
          <w:b/>
          <w:lang w:val="en-US"/>
        </w:rPr>
        <w:t>12</w:t>
      </w:r>
      <w:r w:rsidRPr="00620367">
        <w:rPr>
          <w:rFonts w:ascii="Calibri" w:hAnsi="Calibri" w:cs="Arial"/>
          <w:b/>
          <w:lang w:val="en-US"/>
        </w:rPr>
        <w:t xml:space="preserve"> December </w:t>
      </w:r>
      <w:r w:rsidR="006C4204" w:rsidRPr="00620367">
        <w:rPr>
          <w:rFonts w:ascii="Calibri" w:hAnsi="Calibri" w:cs="Arial"/>
          <w:b/>
          <w:lang w:val="en-US"/>
        </w:rPr>
        <w:t>2017)</w:t>
      </w:r>
      <w:r w:rsidRPr="00620367">
        <w:rPr>
          <w:rFonts w:ascii="Calibri" w:hAnsi="Calibri" w:cs="Arial"/>
          <w:b/>
          <w:lang w:val="en-US"/>
        </w:rPr>
        <w:t xml:space="preserve"> trade union representatives proposed the increase of minimum wages, which was already initiated a half year ago. But, the Government refused this proposal</w:t>
      </w:r>
      <w:r w:rsidR="006C4204" w:rsidRPr="00620367">
        <w:rPr>
          <w:rFonts w:ascii="Calibri" w:hAnsi="Calibri" w:cs="Arial"/>
          <w:b/>
          <w:lang w:val="en-US"/>
        </w:rPr>
        <w:t xml:space="preserve">, </w:t>
      </w:r>
      <w:r w:rsidRPr="00620367">
        <w:rPr>
          <w:rFonts w:ascii="Calibri" w:hAnsi="Calibri" w:cs="Arial"/>
          <w:b/>
          <w:lang w:val="en-US"/>
        </w:rPr>
        <w:t xml:space="preserve">suggesting that the budget would be filled up or revenues collected through the abovementioned measures </w:t>
      </w:r>
      <w:r w:rsidR="006C4204" w:rsidRPr="00620367">
        <w:rPr>
          <w:rFonts w:ascii="Calibri" w:hAnsi="Calibri" w:cs="Arial"/>
          <w:b/>
          <w:lang w:val="en-US"/>
        </w:rPr>
        <w:t>(</w:t>
      </w:r>
      <w:r w:rsidRPr="00620367">
        <w:rPr>
          <w:rFonts w:ascii="Calibri" w:hAnsi="Calibri" w:cs="Arial"/>
          <w:b/>
          <w:lang w:val="en-US"/>
        </w:rPr>
        <w:t xml:space="preserve">VAT from </w:t>
      </w:r>
      <w:r w:rsidR="006C4204" w:rsidRPr="00620367">
        <w:rPr>
          <w:rFonts w:ascii="Calibri" w:hAnsi="Calibri" w:cs="Arial"/>
          <w:b/>
          <w:lang w:val="en-US"/>
        </w:rPr>
        <w:t xml:space="preserve">19% </w:t>
      </w:r>
      <w:r w:rsidRPr="00620367">
        <w:rPr>
          <w:rFonts w:ascii="Calibri" w:hAnsi="Calibri" w:cs="Arial"/>
          <w:b/>
          <w:lang w:val="en-US"/>
        </w:rPr>
        <w:t xml:space="preserve">to </w:t>
      </w:r>
      <w:r w:rsidR="006C4204" w:rsidRPr="00620367">
        <w:rPr>
          <w:rFonts w:ascii="Calibri" w:hAnsi="Calibri" w:cs="Arial"/>
          <w:b/>
          <w:lang w:val="en-US"/>
        </w:rPr>
        <w:t xml:space="preserve">21% </w:t>
      </w:r>
      <w:r w:rsidRPr="00620367">
        <w:rPr>
          <w:rFonts w:ascii="Calibri" w:hAnsi="Calibri" w:cs="Arial"/>
          <w:b/>
          <w:lang w:val="en-US"/>
        </w:rPr>
        <w:t xml:space="preserve">as of </w:t>
      </w:r>
      <w:r w:rsidR="006C4204" w:rsidRPr="00620367">
        <w:rPr>
          <w:rFonts w:ascii="Calibri" w:hAnsi="Calibri" w:cs="Arial"/>
          <w:b/>
          <w:lang w:val="en-US"/>
        </w:rPr>
        <w:t>1</w:t>
      </w:r>
      <w:r w:rsidRPr="00620367">
        <w:rPr>
          <w:rFonts w:ascii="Calibri" w:hAnsi="Calibri" w:cs="Arial"/>
          <w:b/>
          <w:lang w:val="en-US"/>
        </w:rPr>
        <w:t xml:space="preserve"> January </w:t>
      </w:r>
      <w:r w:rsidR="006C4204" w:rsidRPr="00620367">
        <w:rPr>
          <w:rFonts w:ascii="Calibri" w:hAnsi="Calibri" w:cs="Arial"/>
          <w:b/>
          <w:lang w:val="en-US"/>
        </w:rPr>
        <w:t>2018</w:t>
      </w:r>
      <w:r w:rsidRPr="00620367">
        <w:rPr>
          <w:rFonts w:ascii="Calibri" w:hAnsi="Calibri" w:cs="Arial"/>
          <w:b/>
          <w:lang w:val="en-US"/>
        </w:rPr>
        <w:t xml:space="preserve"> and other levies</w:t>
      </w:r>
      <w:r w:rsidR="006C4204" w:rsidRPr="00620367">
        <w:rPr>
          <w:rFonts w:ascii="Calibri" w:hAnsi="Calibri" w:cs="Arial"/>
          <w:b/>
          <w:lang w:val="en-US"/>
        </w:rPr>
        <w:t>)</w:t>
      </w:r>
      <w:r w:rsidRPr="00620367">
        <w:rPr>
          <w:rFonts w:ascii="Calibri" w:hAnsi="Calibri" w:cs="Arial"/>
          <w:b/>
          <w:lang w:val="en-US"/>
        </w:rPr>
        <w:t xml:space="preserve">. The Government also announced the increase of prices for electricity by around </w:t>
      </w:r>
      <w:r w:rsidR="004A2689" w:rsidRPr="00620367">
        <w:rPr>
          <w:rFonts w:ascii="Calibri" w:hAnsi="Calibri" w:cs="Arial"/>
          <w:b/>
          <w:lang w:val="en-US"/>
        </w:rPr>
        <w:t>3%</w:t>
      </w:r>
      <w:r w:rsidRPr="00620367">
        <w:rPr>
          <w:rFonts w:ascii="Calibri" w:hAnsi="Calibri" w:cs="Arial"/>
          <w:b/>
          <w:lang w:val="en-US"/>
        </w:rPr>
        <w:t>, which will negatively reflect on already low living standard</w:t>
      </w:r>
      <w:r w:rsidR="006C4204" w:rsidRPr="00620367">
        <w:rPr>
          <w:rFonts w:ascii="Calibri" w:hAnsi="Calibri" w:cs="Arial"/>
          <w:b/>
          <w:lang w:val="en-US"/>
        </w:rPr>
        <w:t>.</w:t>
      </w:r>
    </w:p>
    <w:p w:rsidR="005147BE" w:rsidRPr="00620367" w:rsidRDefault="005147BE" w:rsidP="005147BE">
      <w:pPr>
        <w:shd w:val="clear" w:color="auto" w:fill="FFFFFF"/>
        <w:spacing w:after="446" w:line="240" w:lineRule="auto"/>
        <w:jc w:val="both"/>
        <w:textAlignment w:val="baseline"/>
        <w:rPr>
          <w:rFonts w:ascii="Calibri" w:hAnsi="Calibri" w:cs="Arial"/>
          <w:lang w:val="en-US"/>
        </w:rPr>
      </w:pPr>
      <w:r w:rsidRPr="00620367">
        <w:rPr>
          <w:rFonts w:ascii="Calibri" w:hAnsi="Calibri" w:cs="Arial"/>
          <w:lang w:val="en-US"/>
        </w:rPr>
        <w:t xml:space="preserve">High rates of economic growth of </w:t>
      </w:r>
      <w:r w:rsidR="008132CB" w:rsidRPr="00620367">
        <w:rPr>
          <w:rFonts w:ascii="Calibri" w:hAnsi="Calibri" w:cs="Arial"/>
          <w:lang w:val="en-US"/>
        </w:rPr>
        <w:t>5</w:t>
      </w:r>
      <w:r w:rsidRPr="00620367">
        <w:rPr>
          <w:rFonts w:ascii="Calibri" w:hAnsi="Calibri" w:cs="Arial"/>
          <w:lang w:val="en-US"/>
        </w:rPr>
        <w:t>,</w:t>
      </w:r>
      <w:r w:rsidR="008132CB" w:rsidRPr="00620367">
        <w:rPr>
          <w:rFonts w:ascii="Calibri" w:hAnsi="Calibri" w:cs="Arial"/>
          <w:lang w:val="en-US"/>
        </w:rPr>
        <w:t xml:space="preserve">1% </w:t>
      </w:r>
      <w:r w:rsidRPr="00620367">
        <w:rPr>
          <w:rFonts w:ascii="Calibri" w:hAnsi="Calibri" w:cs="Arial"/>
          <w:lang w:val="en-US"/>
        </w:rPr>
        <w:t>in Q2 this year is an impressive growth, but it remains the fact that the statistics and data are one thing and real life something else, which means that the citizens still do not feel the effects of this economic progress</w:t>
      </w:r>
      <w:r w:rsidR="008A39F5" w:rsidRPr="00620367">
        <w:rPr>
          <w:rFonts w:ascii="Calibri" w:hAnsi="Calibri" w:cs="Arial"/>
          <w:lang w:val="en-US"/>
        </w:rPr>
        <w:t xml:space="preserve">. </w:t>
      </w:r>
      <w:r w:rsidRPr="00620367">
        <w:rPr>
          <w:rFonts w:ascii="Calibri" w:hAnsi="Calibri" w:cs="Arial"/>
          <w:lang w:val="en-US"/>
        </w:rPr>
        <w:t>IMF is satisfied with such a development, but the citizens of Montenegro are not</w:t>
      </w:r>
      <w:r w:rsidR="008A39F5" w:rsidRPr="00620367">
        <w:rPr>
          <w:rFonts w:ascii="Calibri" w:hAnsi="Calibri" w:cs="Arial"/>
          <w:lang w:val="en-US"/>
        </w:rPr>
        <w:t>.</w:t>
      </w:r>
    </w:p>
    <w:p w:rsidR="004A181A" w:rsidRDefault="00A718CC" w:rsidP="005147BE">
      <w:pPr>
        <w:shd w:val="clear" w:color="auto" w:fill="FFFFFF"/>
        <w:spacing w:after="446" w:line="240" w:lineRule="auto"/>
        <w:jc w:val="both"/>
        <w:textAlignment w:val="baseline"/>
        <w:rPr>
          <w:rFonts w:ascii="Calibri" w:hAnsi="Calibri"/>
          <w:lang w:val="en-US"/>
        </w:rPr>
      </w:pPr>
      <w:proofErr w:type="spellStart"/>
      <w:r w:rsidRPr="00620367">
        <w:rPr>
          <w:rFonts w:ascii="Calibri" w:hAnsi="Calibri"/>
          <w:lang w:val="en-US"/>
        </w:rPr>
        <w:t>Podgorica</w:t>
      </w:r>
      <w:proofErr w:type="spellEnd"/>
      <w:r w:rsidRPr="00620367">
        <w:rPr>
          <w:rFonts w:ascii="Calibri" w:hAnsi="Calibri"/>
          <w:lang w:val="en-US"/>
        </w:rPr>
        <w:t>, 5</w:t>
      </w:r>
      <w:r w:rsidR="001C3832" w:rsidRPr="00620367">
        <w:rPr>
          <w:rFonts w:ascii="Calibri" w:hAnsi="Calibri"/>
          <w:lang w:val="en-US"/>
        </w:rPr>
        <w:t xml:space="preserve"> December 2017</w:t>
      </w:r>
    </w:p>
    <w:p w:rsidR="004C4264" w:rsidRPr="00620367" w:rsidRDefault="004C4264" w:rsidP="005147BE">
      <w:pPr>
        <w:shd w:val="clear" w:color="auto" w:fill="FFFFFF"/>
        <w:spacing w:after="446" w:line="240" w:lineRule="auto"/>
        <w:jc w:val="both"/>
        <w:textAlignment w:val="baseline"/>
        <w:rPr>
          <w:rFonts w:ascii="Calibri" w:hAnsi="Calibri"/>
          <w:lang w:val="en-US"/>
        </w:rPr>
      </w:pPr>
      <w:bookmarkStart w:id="0" w:name="_GoBack"/>
      <w:bookmarkEnd w:id="0"/>
    </w:p>
    <w:sectPr w:rsidR="004C4264" w:rsidRPr="00620367" w:rsidSect="00BD21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Tahoma Bold"/>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A4B18"/>
    <w:multiLevelType w:val="hybridMultilevel"/>
    <w:tmpl w:val="6C2C3582"/>
    <w:lvl w:ilvl="0" w:tplc="73F4B6F6">
      <w:numFmt w:val="bullet"/>
      <w:lvlText w:val="-"/>
      <w:lvlJc w:val="left"/>
      <w:pPr>
        <w:ind w:left="720" w:hanging="360"/>
      </w:pPr>
      <w:rPr>
        <w:rFonts w:ascii="Calibri" w:eastAsiaTheme="minorHAnsi" w:hAnsi="Calibri" w:cstheme="minorBid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hyphenationZone w:val="425"/>
  <w:characterSpacingControl w:val="doNotCompress"/>
  <w:compat/>
  <w:rsids>
    <w:rsidRoot w:val="00F0630E"/>
    <w:rsid w:val="0002259A"/>
    <w:rsid w:val="0002394D"/>
    <w:rsid w:val="000251F7"/>
    <w:rsid w:val="000613A8"/>
    <w:rsid w:val="00063AEC"/>
    <w:rsid w:val="00131673"/>
    <w:rsid w:val="001709F2"/>
    <w:rsid w:val="001B0227"/>
    <w:rsid w:val="001B0C49"/>
    <w:rsid w:val="001B4F05"/>
    <w:rsid w:val="001C3832"/>
    <w:rsid w:val="0034197B"/>
    <w:rsid w:val="00412AD8"/>
    <w:rsid w:val="004A181A"/>
    <w:rsid w:val="004A2689"/>
    <w:rsid w:val="004A7B41"/>
    <w:rsid w:val="004B0D9C"/>
    <w:rsid w:val="004C4264"/>
    <w:rsid w:val="004C7203"/>
    <w:rsid w:val="005147BE"/>
    <w:rsid w:val="00523DD3"/>
    <w:rsid w:val="00531AAD"/>
    <w:rsid w:val="005757B8"/>
    <w:rsid w:val="005E002E"/>
    <w:rsid w:val="00620367"/>
    <w:rsid w:val="00627023"/>
    <w:rsid w:val="00655815"/>
    <w:rsid w:val="006C4204"/>
    <w:rsid w:val="006E5912"/>
    <w:rsid w:val="0071486C"/>
    <w:rsid w:val="007C4B2B"/>
    <w:rsid w:val="008132CB"/>
    <w:rsid w:val="00877A8E"/>
    <w:rsid w:val="008834D0"/>
    <w:rsid w:val="008936B5"/>
    <w:rsid w:val="008A1AE9"/>
    <w:rsid w:val="008A39F5"/>
    <w:rsid w:val="008A42E7"/>
    <w:rsid w:val="008F1304"/>
    <w:rsid w:val="00943C6F"/>
    <w:rsid w:val="00946193"/>
    <w:rsid w:val="00957D41"/>
    <w:rsid w:val="009D4A60"/>
    <w:rsid w:val="00A718CC"/>
    <w:rsid w:val="00AF5D07"/>
    <w:rsid w:val="00B50150"/>
    <w:rsid w:val="00B72F1C"/>
    <w:rsid w:val="00BA2F12"/>
    <w:rsid w:val="00BD2172"/>
    <w:rsid w:val="00C0307E"/>
    <w:rsid w:val="00C42EF3"/>
    <w:rsid w:val="00C46CF9"/>
    <w:rsid w:val="00CE3EED"/>
    <w:rsid w:val="00D47806"/>
    <w:rsid w:val="00D54561"/>
    <w:rsid w:val="00D6429E"/>
    <w:rsid w:val="00D76A02"/>
    <w:rsid w:val="00DF181A"/>
    <w:rsid w:val="00E2538A"/>
    <w:rsid w:val="00E40B54"/>
    <w:rsid w:val="00E96D01"/>
    <w:rsid w:val="00EB6ADD"/>
    <w:rsid w:val="00ED4C57"/>
    <w:rsid w:val="00EF4666"/>
    <w:rsid w:val="00F02762"/>
    <w:rsid w:val="00F0630E"/>
    <w:rsid w:val="00F14D05"/>
    <w:rsid w:val="00F25F90"/>
    <w:rsid w:val="00F504A2"/>
    <w:rsid w:val="00F50F3F"/>
    <w:rsid w:val="00F61AF9"/>
    <w:rsid w:val="00F903FA"/>
    <w:rsid w:val="00FD3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F0630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F0630E"/>
    <w:pPr>
      <w:ind w:left="720"/>
      <w:contextualSpacing/>
    </w:pPr>
  </w:style>
  <w:style w:type="paragraph" w:styleId="HTMLPreformatted">
    <w:name w:val="HTML Preformatted"/>
    <w:basedOn w:val="Normal"/>
    <w:link w:val="HTMLPreformattedChar"/>
    <w:uiPriority w:val="99"/>
    <w:unhideWhenUsed/>
    <w:rsid w:val="00F06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z-Cyrl-UZ"/>
    </w:rPr>
  </w:style>
  <w:style w:type="character" w:customStyle="1" w:styleId="HTMLPreformattedChar">
    <w:name w:val="HTML Preformatted Char"/>
    <w:basedOn w:val="DefaultParagraphFont"/>
    <w:link w:val="HTMLPreformatted"/>
    <w:uiPriority w:val="99"/>
    <w:rsid w:val="00F0630E"/>
    <w:rPr>
      <w:rFonts w:ascii="Courier New" w:eastAsia="Times New Roman" w:hAnsi="Courier New" w:cs="Courier New"/>
      <w:sz w:val="20"/>
      <w:szCs w:val="20"/>
      <w:lang w:eastAsia="uz-Cyrl-UZ"/>
    </w:rPr>
  </w:style>
  <w:style w:type="paragraph" w:styleId="NormalWeb">
    <w:name w:val="Normal (Web)"/>
    <w:basedOn w:val="Normal"/>
    <w:uiPriority w:val="99"/>
    <w:unhideWhenUsed/>
    <w:rsid w:val="0002394D"/>
    <w:pPr>
      <w:spacing w:before="100" w:beforeAutospacing="1" w:after="100" w:afterAutospacing="1" w:line="240" w:lineRule="auto"/>
    </w:pPr>
    <w:rPr>
      <w:rFonts w:ascii="Times New Roman" w:eastAsia="Times New Roman" w:hAnsi="Times New Roman" w:cs="Times New Roman"/>
      <w:sz w:val="24"/>
      <w:szCs w:val="24"/>
      <w:lang w:eastAsia="uz-Cyrl-UZ"/>
    </w:rPr>
  </w:style>
  <w:style w:type="character" w:styleId="Strong">
    <w:name w:val="Strong"/>
    <w:basedOn w:val="DefaultParagraphFont"/>
    <w:uiPriority w:val="22"/>
    <w:qFormat/>
    <w:rsid w:val="0002394D"/>
    <w:rPr>
      <w:b/>
      <w:bCs/>
    </w:rPr>
  </w:style>
  <w:style w:type="paragraph" w:styleId="BalloonText">
    <w:name w:val="Balloon Text"/>
    <w:basedOn w:val="Normal"/>
    <w:link w:val="BalloonTextChar"/>
    <w:uiPriority w:val="99"/>
    <w:semiHidden/>
    <w:unhideWhenUsed/>
    <w:rsid w:val="00025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1F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F0630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F0630E"/>
    <w:pPr>
      <w:ind w:left="720"/>
      <w:contextualSpacing/>
    </w:pPr>
  </w:style>
  <w:style w:type="paragraph" w:styleId="HTMLPreformatted">
    <w:name w:val="HTML Preformatted"/>
    <w:basedOn w:val="Normal"/>
    <w:link w:val="HTMLPreformattedChar"/>
    <w:uiPriority w:val="99"/>
    <w:unhideWhenUsed/>
    <w:rsid w:val="00F06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z-Cyrl-UZ"/>
    </w:rPr>
  </w:style>
  <w:style w:type="character" w:customStyle="1" w:styleId="HTMLPreformattedChar">
    <w:name w:val="HTML Preformatted Char"/>
    <w:basedOn w:val="DefaultParagraphFont"/>
    <w:link w:val="HTMLPreformatted"/>
    <w:uiPriority w:val="99"/>
    <w:rsid w:val="00F0630E"/>
    <w:rPr>
      <w:rFonts w:ascii="Courier New" w:eastAsia="Times New Roman" w:hAnsi="Courier New" w:cs="Courier New"/>
      <w:sz w:val="20"/>
      <w:szCs w:val="20"/>
      <w:lang w:eastAsia="uz-Cyrl-UZ"/>
    </w:rPr>
  </w:style>
  <w:style w:type="paragraph" w:styleId="NormalWeb">
    <w:name w:val="Normal (Web)"/>
    <w:basedOn w:val="Normal"/>
    <w:uiPriority w:val="99"/>
    <w:unhideWhenUsed/>
    <w:rsid w:val="0002394D"/>
    <w:pPr>
      <w:spacing w:before="100" w:beforeAutospacing="1" w:after="100" w:afterAutospacing="1" w:line="240" w:lineRule="auto"/>
    </w:pPr>
    <w:rPr>
      <w:rFonts w:ascii="Times New Roman" w:eastAsia="Times New Roman" w:hAnsi="Times New Roman" w:cs="Times New Roman"/>
      <w:sz w:val="24"/>
      <w:szCs w:val="24"/>
      <w:lang w:eastAsia="uz-Cyrl-UZ"/>
    </w:rPr>
  </w:style>
  <w:style w:type="character" w:styleId="Strong">
    <w:name w:val="Strong"/>
    <w:basedOn w:val="DefaultParagraphFont"/>
    <w:uiPriority w:val="22"/>
    <w:qFormat/>
    <w:rsid w:val="0002394D"/>
    <w:rPr>
      <w:b/>
      <w:bCs/>
    </w:rPr>
  </w:style>
  <w:style w:type="paragraph" w:styleId="BalloonText">
    <w:name w:val="Balloon Text"/>
    <w:basedOn w:val="Normal"/>
    <w:link w:val="BalloonTextChar"/>
    <w:uiPriority w:val="99"/>
    <w:semiHidden/>
    <w:unhideWhenUsed/>
    <w:rsid w:val="00025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1F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nsparency.org/news/feature/corruption_perceptions_index_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Savez CG</dc:creator>
  <cp:lastModifiedBy>k</cp:lastModifiedBy>
  <cp:revision>2</cp:revision>
  <cp:lastPrinted>2017-12-13T09:28:00Z</cp:lastPrinted>
  <dcterms:created xsi:type="dcterms:W3CDTF">2017-12-18T08:39:00Z</dcterms:created>
  <dcterms:modified xsi:type="dcterms:W3CDTF">2017-12-18T08:39:00Z</dcterms:modified>
</cp:coreProperties>
</file>