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8" w:rsidRPr="00F413DD" w:rsidRDefault="00837BB3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Профсоюзы и МНК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, Антон </w:t>
      </w:r>
      <w:proofErr w:type="spellStart"/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>Леппик</w:t>
      </w:r>
      <w:proofErr w:type="spellEnd"/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>, ВЕРС</w:t>
      </w:r>
    </w:p>
    <w:p w:rsidR="00837BB3" w:rsidRPr="00F413DD" w:rsidRDefault="00837BB3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Профсоюзное движение 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>не связано рамками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национальных границ. В условиях </w:t>
      </w:r>
      <w:proofErr w:type="spell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глобализирующегося</w:t>
      </w:r>
      <w:proofErr w:type="spell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мира глобализация профсоюзного движения является необходимым фактором успеха профсоюзов и на национальном уровне. Профсоюзы на международном уровне ведут борьбу за принятие универсальных трудовых норм, за признание этих норм неотъемлемой частью международных договоров и институтов, за внедрение международных механизмов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этих норм. Профсоюзы представляют интересы трудящихся на различных форумах и платформах, стремясь повлиять на политику как уже сложившихся 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надгосударственных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структур, например, в рамках системы ООН, или ЕС, или ОЭСР, так и новых форм надгосударственного регулирования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, таких как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Большая восьмерка, 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ольшая двадцатка и других.</w:t>
      </w:r>
      <w:r w:rsidR="00A7611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В то же время профсоюзы работают 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7611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с негосударственными международными игроками, в первую очередь, с </w:t>
      </w:r>
      <w:proofErr w:type="spellStart"/>
      <w:r w:rsidR="00A7611B" w:rsidRPr="00F413DD">
        <w:rPr>
          <w:rFonts w:ascii="Times New Roman" w:hAnsi="Times New Roman" w:cs="Times New Roman"/>
          <w:sz w:val="28"/>
          <w:szCs w:val="28"/>
          <w:lang w:val="ru-RU"/>
        </w:rPr>
        <w:t>мультинациональными</w:t>
      </w:r>
      <w:proofErr w:type="spellEnd"/>
      <w:r w:rsidR="00A7611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компаниями. </w:t>
      </w:r>
    </w:p>
    <w:p w:rsidR="00837BB3" w:rsidRPr="00F413DD" w:rsidRDefault="00A7611B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На международном уровне профсоюзы представлены (в первую очередь) организациями, объединяющими национальные профсоюзные центры</w:t>
      </w:r>
      <w:r w:rsidR="00EB49AA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, например, МКП, и организациями, объединяющими отраслевые профсоюзы, то есть Глобальными профсоюзными федерациями. У каждой 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профсоюзной </w:t>
      </w:r>
      <w:r w:rsidR="00EB49AA" w:rsidRPr="00F413DD">
        <w:rPr>
          <w:rFonts w:ascii="Times New Roman" w:hAnsi="Times New Roman" w:cs="Times New Roman"/>
          <w:sz w:val="28"/>
          <w:szCs w:val="28"/>
          <w:lang w:val="ru-RU"/>
        </w:rPr>
        <w:t>структуры своя роль. ГФП встроены в систему производственных отношений, их членские организации ведут коллективные переговоры с конкретными работодателями, поэтому и на международном уровне ГПФ координируют деятельность в рамках конкретных МНК, в отдельных случаях даже ведут коллективные переговоры. МКП</w:t>
      </w:r>
      <w:r w:rsidR="007E1ECF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объединяет национальные профцентры, роль которых – влияние на вопросы национальной экономической и социальной политики, на нормотворческие процессы. </w:t>
      </w:r>
      <w:r w:rsidR="00E4474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Соответственно, и МКП на </w:t>
      </w:r>
      <w:r w:rsidR="00E44740"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международном уровне оказывает влияние на нормативный и политический контекст. В случае с МНК роль МКП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>, в первую очередь,</w:t>
      </w:r>
      <w:r w:rsidR="00E4474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– участвовать в разработке политики в отношении ведения бизнеса, взаимодействовать с международными структурами, имеющими влияние на МНК, и продвигать механизмы мониторинга их деятельности. </w:t>
      </w:r>
    </w:p>
    <w:p w:rsidR="009E2EE7" w:rsidRPr="00F413DD" w:rsidRDefault="00A465A6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Можно выделить две группы существующих механизмов на влияние / мониторинг деятельности МНК: обязательные (нормативные) 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или вытекающие из международного права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и добровольные, то есть взятые на себя самими компаниями.  При этом граница между ними зачастую умышленно размывается, особенно в ходе дискуссии о корпоративной социальной ответственности.</w:t>
      </w:r>
      <w:r w:rsidR="008F3D55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Нередки казусы, когда призы за социальную ответственность получает компания, оказавшая благотворительную помощь, но нарушающая права работников и международные нормы, то есть «добровольность» социальной ответственности превалирует над обязательствами компании, вытекающими из международного трудового права.</w:t>
      </w:r>
      <w:r w:rsidR="00F75F6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2EE7" w:rsidRPr="00F413DD" w:rsidRDefault="00C51B9C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Говоря о нормативном поле, в первую очередь следует отметить основополагающие Конвенции МОТ, согласованные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трехстороннем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>. Государство, ратифицировавшее конвенцию, должно обеспечить ее практическое применение как зак</w:t>
      </w:r>
      <w:r w:rsidR="00F81EAB" w:rsidRPr="00F413DD">
        <w:rPr>
          <w:rFonts w:ascii="Times New Roman" w:hAnsi="Times New Roman" w:cs="Times New Roman"/>
          <w:sz w:val="28"/>
          <w:szCs w:val="28"/>
          <w:lang w:val="ru-RU"/>
        </w:rPr>
        <w:t>онодательно, так и на практике. В этом случае оно несет ответственность за деятельность МНК на своей территории. Другое дело, когда МНК действует в странах, не ратифицировавших конвенцию. Рост деятельности МНК и всепроникающий ее характер привели к тому, что на международном уровне был разработан ряд механизмов, призванных регулировать деятельность МНК в любых возможных ситуациях. Это, в первую очередь, Декларация МОТ по МНК, Руководство ОЭСР по МНК, руководящие принципы по вопросам бизнеса и прав человека ООН.</w:t>
      </w:r>
    </w:p>
    <w:p w:rsidR="00F81EAB" w:rsidRPr="00F413DD" w:rsidRDefault="002920D0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Декларация МОТ по МНК была принята несколько десятилетий назад, но в 2006 года она была пересмотрена и учитывает теперь современные реалии.  Декларация принята Конференцией МОТ, то есть тремя сторонами – правительствами, работодателями и трудящимися. </w:t>
      </w:r>
      <w:r w:rsidR="003F389C" w:rsidRPr="00F413DD">
        <w:rPr>
          <w:rFonts w:ascii="Times New Roman" w:hAnsi="Times New Roman" w:cs="Times New Roman"/>
          <w:sz w:val="28"/>
          <w:szCs w:val="28"/>
          <w:lang w:val="ru-RU"/>
        </w:rPr>
        <w:t>Среди прочего, декларация констатирует следующие согласованные принципы:</w:t>
      </w:r>
    </w:p>
    <w:p w:rsidR="003F389C" w:rsidRPr="00F413DD" w:rsidRDefault="003F389C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- необходимость соблюдения национального и наднационального законодательства относится не только к государствам, следовательно, международные нормы применимы 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к МНК;</w:t>
      </w:r>
    </w:p>
    <w:p w:rsidR="003F389C" w:rsidRPr="00F413DD" w:rsidRDefault="003F389C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- деятельность МНК должна гармонировать с политикой развития и социальными целями и структурой страны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>, где эта деятельность осуществляется;</w:t>
      </w:r>
    </w:p>
    <w:p w:rsidR="003F389C" w:rsidRPr="00F413DD" w:rsidRDefault="003F389C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- МНК должны вести консультации по вопросам занятости в стране</w:t>
      </w:r>
      <w:r w:rsidR="00B43D50" w:rsidRPr="00F413DD">
        <w:rPr>
          <w:rFonts w:ascii="Times New Roman" w:hAnsi="Times New Roman" w:cs="Times New Roman"/>
          <w:sz w:val="28"/>
          <w:szCs w:val="28"/>
          <w:lang w:val="ru-RU"/>
        </w:rPr>
        <w:t>, где осуществляют свою деятельность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, в том числе и с социальными партнёрами (где приемлемо);</w:t>
      </w:r>
    </w:p>
    <w:p w:rsidR="003F389C" w:rsidRPr="00F413DD" w:rsidRDefault="003F389C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- привлечение международных инвестиций не может осуществляться за счет ограничения прав, в том числе на свободу объединения;</w:t>
      </w:r>
    </w:p>
    <w:p w:rsidR="003F389C" w:rsidRPr="00F413DD" w:rsidRDefault="003F389C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- продвижение коллективных переговоров (как прописано в статье 4 Конвенции МОТ 98);</w:t>
      </w:r>
    </w:p>
    <w:p w:rsidR="003F389C" w:rsidRPr="00F413DD" w:rsidRDefault="003F389C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- недопущение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использования угрозы закрытия / перемещения производства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как элемента переговорной тактики;</w:t>
      </w:r>
    </w:p>
    <w:p w:rsidR="003F389C" w:rsidRPr="00F413DD" w:rsidRDefault="003F389C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12AF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разработк</w:t>
      </w:r>
      <w:r w:rsidR="000512AF" w:rsidRPr="00F413D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механизма подачи жалоб.</w:t>
      </w:r>
    </w:p>
    <w:p w:rsidR="003F389C" w:rsidRPr="00F413DD" w:rsidRDefault="00032D58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Сила Декларации в том, что это трехсторонний документ, однако возможности его использования ограничены, поскольку не существует механизма мониторинга, </w:t>
      </w:r>
      <w:r w:rsidR="000512AF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как, например, </w:t>
      </w:r>
      <w:proofErr w:type="gramStart"/>
      <w:r w:rsidR="000512AF" w:rsidRPr="00F413DD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="000512AF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512AF" w:rsidRPr="00F413D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512AF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системе Декларации МОТ о </w:t>
      </w:r>
      <w:r w:rsidR="000512AF"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фундаментальных правам, не существует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процедуры рассмотрения жалоб на несоответствие деятельности конкретных МНК принципам декларации. Профсоюзы предлагали разработать подобный механизм, однако работодатели и правительства энтузиазма не проявили. Таким образом, этот документ является своего рода официальным сводом ожиданий от деятельности МНК.  </w:t>
      </w:r>
      <w:r w:rsidR="003F389C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6F23" w:rsidRPr="00F413DD" w:rsidRDefault="00AB6F23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Генеральный Совет МКП принял план действий по Декларации МОТ с целью </w:t>
      </w:r>
      <w:r w:rsidR="000512AF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полноценного использования, продвижения принципов и норм, а также использования новых возможностей для продвижения достойного труда в цепочках субподряда. В этих целях МКП планирует:</w:t>
      </w:r>
    </w:p>
    <w:p w:rsidR="00AB6F23" w:rsidRPr="00F413DD" w:rsidRDefault="00AB6F23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413DD">
        <w:rPr>
          <w:rFonts w:ascii="Times New Roman" w:hAnsi="Times New Roman" w:cs="Times New Roman"/>
          <w:sz w:val="28"/>
          <w:szCs w:val="28"/>
          <w:lang w:val="ru-RU"/>
        </w:rPr>
        <w:t>- Выделить контактных лиц на региональном, субрегиональном и местом уровнях, ответственных за продвижение Декларации и ее принципов;</w:t>
      </w:r>
    </w:p>
    <w:p w:rsidR="00AB6F23" w:rsidRPr="00F413DD" w:rsidRDefault="00AB6F23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- увеличить число мероприятий по деятельности МНК в рамках национальных программ Достойного Труда;</w:t>
      </w:r>
    </w:p>
    <w:p w:rsidR="00AB6F23" w:rsidRPr="00F413DD" w:rsidRDefault="00AB6F23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5670" w:rsidRPr="00F413DD">
        <w:rPr>
          <w:rFonts w:ascii="Times New Roman" w:hAnsi="Times New Roman" w:cs="Times New Roman"/>
          <w:sz w:val="28"/>
          <w:szCs w:val="28"/>
          <w:lang w:val="ru-RU"/>
        </w:rPr>
        <w:t>повышать осведомленность о Декларац</w:t>
      </w:r>
      <w:proofErr w:type="gramStart"/>
      <w:r w:rsidR="008F5670" w:rsidRPr="00F413DD">
        <w:rPr>
          <w:rFonts w:ascii="Times New Roman" w:hAnsi="Times New Roman" w:cs="Times New Roman"/>
          <w:sz w:val="28"/>
          <w:szCs w:val="28"/>
          <w:lang w:val="ru-RU"/>
        </w:rPr>
        <w:t>ии и ее</w:t>
      </w:r>
      <w:proofErr w:type="gramEnd"/>
      <w:r w:rsidR="008F567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принципах руководителей, сотрудников и акционеров МНК;</w:t>
      </w:r>
    </w:p>
    <w:p w:rsidR="008F5670" w:rsidRPr="00F413DD" w:rsidRDefault="008F5670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- привлекать МОТ к посредничеству на местном уровне (пилотные инициативы)</w:t>
      </w:r>
    </w:p>
    <w:p w:rsidR="008F5670" w:rsidRPr="00F413DD" w:rsidRDefault="008F5670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- продвигать Декларацию и ее принципы через отраслевые каналы (переговоры) и наблюдательные советы;</w:t>
      </w:r>
    </w:p>
    <w:p w:rsidR="008F5670" w:rsidRPr="00F413DD" w:rsidRDefault="008F5670" w:rsidP="00F41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- изменить формат отчетности в рамках Ежегодного Бюллетеня МКП о нарушениях прав профсоюзов.</w:t>
      </w:r>
    </w:p>
    <w:p w:rsidR="00D7207E" w:rsidRPr="00F413DD" w:rsidRDefault="00D7207E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Вторым важным документом является Руководство Организации Экономического Сотрудничества и Развития (ОЭСР) по МНК. Этот документ был также разработан несколько десятков лет назад, но недавно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>был пересмотрен в связи с концептуализацией социальной ответственности бизнеса, осуществленной ООН, и принятие</w:t>
      </w:r>
      <w:r w:rsidR="000512AF" w:rsidRPr="00F413D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руководящих принципов по вопросам бизнеса и прав человека. Поэтому я сначала остановлюсь на этих принципах.</w:t>
      </w:r>
    </w:p>
    <w:p w:rsidR="00D7207E" w:rsidRPr="00F413DD" w:rsidRDefault="00EF2D60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Принципы «Защищай, уважай, исправляй» были разработаны Джоном </w:t>
      </w:r>
      <w:proofErr w:type="spellStart"/>
      <w:r w:rsidRPr="00F413DD">
        <w:rPr>
          <w:rFonts w:ascii="Times New Roman" w:hAnsi="Times New Roman" w:cs="Times New Roman"/>
          <w:sz w:val="28"/>
          <w:szCs w:val="28"/>
          <w:lang w:val="ru-RU"/>
        </w:rPr>
        <w:t>Рагги</w:t>
      </w:r>
      <w:proofErr w:type="spell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профессором Гарвардского университета, назначенного на пост Специального представителя Генерального секретаря ООН по вопросу о бизнесе и правах человека в 2005 году. Он осуществлял свою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в рамках мандата исходя из одной цели: «изменить и улучшить реальность» для миллионов людей, испытывающих на себе влияние бизнес-компаний</w:t>
      </w:r>
      <w:r w:rsidRPr="00F413DD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.  Эти принципы были единогласно приняты Советом по правам человека ООН в июне 2011 года.</w:t>
      </w:r>
      <w:r w:rsidR="00E16F5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207E" w:rsidRPr="00F413DD" w:rsidRDefault="000512AF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Немного предыстории. </w:t>
      </w:r>
      <w:proofErr w:type="gramStart"/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>Когда Генеральный Секретарь ООН запустил «Глобальный Договор» - своего рода этический кодекс, свод минимальных международных обязательств, включающий в себя права трудящихся, то профсоюзы надеялись, что этот документ сможет служить инструментом содействия реализации прав в конкретных компаниях, в первую очередь в тех, которые «присоединились» к Договору</w:t>
      </w:r>
      <w:r w:rsidR="0018559B" w:rsidRPr="00F413DD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в рамках Договора профсоюзы смогут вести диалог с </w:t>
      </w:r>
      <w:r w:rsidR="0018559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этими </w:t>
      </w:r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>МНК, поскольку 2 представителя международного профсоюзного</w:t>
      </w:r>
      <w:proofErr w:type="gramEnd"/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движения входят в совет Договора. Однако эти ожидания не реализовались, а среди </w:t>
      </w:r>
      <w:proofErr w:type="gramStart"/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>присоединившихся</w:t>
      </w:r>
      <w:proofErr w:type="gramEnd"/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появились компании с недобропорядочным поведением. В рамках группы по правам трудящихся при Договоре профсоюзы пытались поднять вопрос необходимости механизмов мониторинга, говорили о необходимости правильной оценки социальной ответственности компании, в том числе среди субподрядчиков. Эта дискуссия не привела к конкретным результатам, но </w:t>
      </w:r>
      <w:r w:rsidR="0018559B" w:rsidRPr="00F413DD">
        <w:rPr>
          <w:rFonts w:ascii="Times New Roman" w:hAnsi="Times New Roman" w:cs="Times New Roman"/>
          <w:sz w:val="28"/>
          <w:szCs w:val="28"/>
          <w:lang w:val="ru-RU"/>
        </w:rPr>
        <w:t>свои аргументы</w:t>
      </w:r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59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профсоюзы смогли представить </w:t>
      </w:r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профессору </w:t>
      </w:r>
      <w:proofErr w:type="spellStart"/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>Рагги</w:t>
      </w:r>
      <w:proofErr w:type="spellEnd"/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>. В ходе разработк</w:t>
      </w:r>
      <w:r w:rsidR="0018559B" w:rsidRPr="00F413D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принципов профессор </w:t>
      </w:r>
      <w:proofErr w:type="spellStart"/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>Рагги</w:t>
      </w:r>
      <w:proofErr w:type="spellEnd"/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неоднократно встречался с представителями профсоюзов и во многом адекватно отразил те позиции, которые МКП продвигал</w:t>
      </w:r>
      <w:r w:rsidR="0018559B" w:rsidRPr="00F413D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207E" w:rsidRPr="00F413DD">
        <w:rPr>
          <w:rFonts w:ascii="Times New Roman" w:hAnsi="Times New Roman" w:cs="Times New Roman"/>
          <w:sz w:val="28"/>
          <w:szCs w:val="28"/>
          <w:lang w:val="ru-RU"/>
        </w:rPr>
        <w:t>, в итоговом документе.</w:t>
      </w:r>
    </w:p>
    <w:p w:rsidR="00BC39EA" w:rsidRPr="00F413DD" w:rsidRDefault="00EF2D60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Как таковые, эти принципы не являются юридическим документом, но они прорабатывают су</w:t>
      </w:r>
      <w:r w:rsidR="00CD486B" w:rsidRPr="00F413DD">
        <w:rPr>
          <w:rFonts w:ascii="Times New Roman" w:hAnsi="Times New Roman" w:cs="Times New Roman"/>
          <w:sz w:val="28"/>
          <w:szCs w:val="28"/>
          <w:lang w:val="ru-RU"/>
        </w:rPr>
        <w:t>ществующие нормы и практики, и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четко определяют роль МОТ как источника международного</w:t>
      </w:r>
      <w:r w:rsidR="00BC39EA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права и определя</w:t>
      </w:r>
      <w:r w:rsidR="00CD486B" w:rsidRPr="00F413D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C39EA" w:rsidRPr="00F413DD">
        <w:rPr>
          <w:rFonts w:ascii="Times New Roman" w:hAnsi="Times New Roman" w:cs="Times New Roman"/>
          <w:sz w:val="28"/>
          <w:szCs w:val="28"/>
          <w:lang w:val="ru-RU"/>
        </w:rPr>
        <w:t>т права трудящихся (и профсоюзов) как права человека</w:t>
      </w:r>
      <w:r w:rsidR="00ED63A9" w:rsidRPr="00F413DD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7F3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бизнеса соблюдать права человека применима ко всем видам деловой деятельности повсеместно и включает все </w:t>
      </w:r>
      <w:proofErr w:type="spellStart"/>
      <w:r w:rsidR="00C37F39" w:rsidRPr="00F413DD">
        <w:rPr>
          <w:rFonts w:ascii="Times New Roman" w:hAnsi="Times New Roman" w:cs="Times New Roman"/>
          <w:sz w:val="28"/>
          <w:szCs w:val="28"/>
          <w:lang w:val="ru-RU"/>
        </w:rPr>
        <w:t>международно</w:t>
      </w:r>
      <w:proofErr w:type="spellEnd"/>
      <w:r w:rsidR="00C37F3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признанные права человека.</w:t>
      </w:r>
      <w:proofErr w:type="gramEnd"/>
      <w:r w:rsidR="00C37F3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Руководящие принципы ООН в частности ссылаются на Декларацию МОТ о фундаментальных принципах и правах на рабочем месте, которая основана на восьми </w:t>
      </w:r>
      <w:r w:rsidR="00CD486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ключевых конвенциях МОТ. </w:t>
      </w:r>
      <w:r w:rsidR="00BC39EA" w:rsidRPr="00F413DD">
        <w:rPr>
          <w:rFonts w:ascii="Times New Roman" w:hAnsi="Times New Roman" w:cs="Times New Roman"/>
          <w:sz w:val="28"/>
          <w:szCs w:val="28"/>
          <w:lang w:val="ru-RU"/>
        </w:rPr>
        <w:t>В чем же «прорыв» данного документа?</w:t>
      </w:r>
    </w:p>
    <w:p w:rsidR="00ED63A9" w:rsidRPr="00F413DD" w:rsidRDefault="00ED63A9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2D60" w:rsidRPr="00F413DD" w:rsidRDefault="00BC39EA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</w:t>
      </w:r>
      <w:r w:rsidR="001D61DE" w:rsidRPr="00F413DD">
        <w:rPr>
          <w:rFonts w:ascii="Times New Roman" w:hAnsi="Times New Roman" w:cs="Times New Roman"/>
          <w:sz w:val="28"/>
          <w:szCs w:val="28"/>
          <w:lang w:val="ru-RU"/>
        </w:rPr>
        <w:t>он утверждает, что роль бизнеса и государства различны и не зависят друг от друга. Государство не может использовать власть бизнеса в качестве предлога не выполнять свои обязательства по защите прав человека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2D6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61DE" w:rsidRPr="00F413DD" w:rsidRDefault="001D61DE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39EA" w:rsidRPr="00F413DD" w:rsidRDefault="00BC39EA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он утверждает, что бизнес обязан уважать права человека в любом случае, даже если государство не в состоянии обеспечить реализацию этих прав. </w:t>
      </w:r>
      <w:r w:rsidR="001D61DE" w:rsidRPr="00F413DD">
        <w:rPr>
          <w:rFonts w:ascii="Times New Roman" w:hAnsi="Times New Roman" w:cs="Times New Roman"/>
          <w:sz w:val="28"/>
          <w:szCs w:val="28"/>
          <w:lang w:val="ru-RU"/>
        </w:rPr>
        <w:t>Бизнес не может использовать неэффективную защиту государством прав человека как повод избежать ответственности по соблюдению прав человека.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Следовательно, даже если правительство той или иной страны не соблюдает международные нормы, это еще не значит, что МНК,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действующая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в этой стране, может их не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соблюдать на своем производстве. </w:t>
      </w:r>
      <w:r w:rsidR="00DA0F46" w:rsidRPr="00F413DD">
        <w:rPr>
          <w:rFonts w:ascii="Times New Roman" w:hAnsi="Times New Roman" w:cs="Times New Roman"/>
          <w:sz w:val="28"/>
          <w:szCs w:val="28"/>
          <w:lang w:val="ru-RU"/>
        </w:rPr>
        <w:t>Этот принцип предоставляет дополнительные аргументы профсоюзом по реализации основополагающих прав в дочерних пред</w:t>
      </w:r>
      <w:r w:rsidR="003746F1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приятиях МНК в странах, нарушающих международные нормы. </w:t>
      </w:r>
    </w:p>
    <w:p w:rsidR="009E2EE7" w:rsidRPr="00F413DD" w:rsidRDefault="009E2EE7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6F1" w:rsidRPr="00F413DD" w:rsidRDefault="003746F1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В-третьих, вводится понятие «должная забота» </w:t>
      </w:r>
      <w:r w:rsidR="00ED7942" w:rsidRPr="00F413DD">
        <w:rPr>
          <w:rFonts w:ascii="Times New Roman" w:hAnsi="Times New Roman" w:cs="Times New Roman"/>
          <w:sz w:val="28"/>
          <w:szCs w:val="28"/>
          <w:lang w:val="ru-RU"/>
        </w:rPr>
        <w:t>(в переводе часто используется понятие «комплексный анализ</w:t>
      </w:r>
      <w:r w:rsidR="00CD486B" w:rsidRPr="00F413D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D794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в отношении социально-ответственного поведения.</w:t>
      </w:r>
      <w:r w:rsidR="00ED794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 разъясняет, что же именно является социально-ответственным поведением. </w:t>
      </w:r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 w:rsidR="00CD486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социально </w:t>
      </w:r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>ответственным поведением подразумевается, что бизнес использует процедуры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>«комплексного анализа» для выявления, предотвращения и смягчения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>неблагоприятных эффектов. Помимо этого, бизнес несет ответственность за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>восстановление после любых неблагоприятных воздействий, которые он вызвал или к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которому был причастен. Бизнес также несет ответственность за предотвращение и смягчение неблагоприятных эффектов, напрямую связанных с деятельностью, продукцией и услугами своих </w:t>
      </w:r>
      <w:proofErr w:type="gramStart"/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>бизнес-партнеров</w:t>
      </w:r>
      <w:proofErr w:type="gramEnd"/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, даже если он не был </w:t>
      </w:r>
      <w:r w:rsidR="00DC0C88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напрямую </w:t>
      </w:r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причастен к </w:t>
      </w:r>
      <w:r w:rsidR="00DC0C88" w:rsidRPr="00F413DD">
        <w:rPr>
          <w:rFonts w:ascii="Times New Roman" w:hAnsi="Times New Roman" w:cs="Times New Roman"/>
          <w:sz w:val="28"/>
          <w:szCs w:val="28"/>
          <w:lang w:val="ru-RU"/>
        </w:rPr>
        <w:t>этому воздействию</w:t>
      </w:r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7F39" w:rsidRPr="00F413DD">
        <w:rPr>
          <w:rFonts w:ascii="Times New Roman" w:hAnsi="Times New Roman" w:cs="Times New Roman"/>
          <w:sz w:val="28"/>
          <w:szCs w:val="28"/>
          <w:lang w:val="ru-RU"/>
        </w:rPr>
        <w:t>Ответственность по соблюдению прав человека заключается в том, что бизнес «должен избегать посягательства на права человека и разрешать проблемы неблагоприятных</w:t>
      </w:r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F39" w:rsidRPr="00F413DD">
        <w:rPr>
          <w:rFonts w:ascii="Times New Roman" w:hAnsi="Times New Roman" w:cs="Times New Roman"/>
          <w:sz w:val="28"/>
          <w:szCs w:val="28"/>
          <w:lang w:val="ru-RU"/>
        </w:rPr>
        <w:t>последствий, в которые они вовлечены»</w:t>
      </w:r>
      <w:r w:rsidR="00ED63A9" w:rsidRPr="00F413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2EE7" w:rsidRPr="00F413DD" w:rsidRDefault="009E2EE7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3A9" w:rsidRPr="00F413DD" w:rsidRDefault="00ED63A9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942" w:rsidRPr="00F413DD" w:rsidRDefault="00ED63A9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ED7942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>«Руководящие принципы являются глобальным стандартом, применение которого в</w:t>
      </w:r>
      <w:r w:rsidR="00EF1E99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ED7942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настоящее время ожидается от всех правительств и бизнесов по отношению к</w:t>
      </w:r>
      <w:r w:rsidR="00EF1E99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ED7942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предпринимательской деятельности и правам человека. Руководящие принципы не</w:t>
      </w:r>
      <w:r w:rsidR="00EF1E99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ED7942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представляют собой юридически обязательный документ, однако объясняют</w:t>
      </w:r>
      <w:r w:rsidR="00EF1E99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ED7942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следствия существующих стандартов и практики для </w:t>
      </w:r>
      <w:r w:rsidR="00ED7942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государств и бизнесов, а</w:t>
      </w:r>
      <w:r w:rsidR="00EF1E99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ED7942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также включают пункты, раскрытые в различных международных законодательных</w:t>
      </w:r>
      <w:r w:rsidR="00EF1E99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ED7942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актах и практике</w:t>
      </w:r>
      <w:r w:rsidR="00ED7942" w:rsidRPr="00F413DD">
        <w:rPr>
          <w:rStyle w:val="FootnoteReference"/>
          <w:rFonts w:ascii="Times New Roman" w:hAnsi="Times New Roman" w:cs="Times New Roman"/>
          <w:i/>
          <w:iCs/>
          <w:sz w:val="28"/>
          <w:szCs w:val="28"/>
        </w:rPr>
        <w:footnoteReference w:id="3"/>
      </w:r>
      <w:r w:rsidR="00ED7942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>».</w:t>
      </w:r>
    </w:p>
    <w:p w:rsidR="00EF1E99" w:rsidRPr="00F413DD" w:rsidRDefault="00EF1E99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3A9" w:rsidRPr="00F413DD" w:rsidRDefault="00ED63A9" w:rsidP="00F413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Это совершенно меняет сам подход к понятиям социальной ответственности и социально-ответственный бизнес. </w:t>
      </w:r>
      <w:r w:rsidRPr="00F413DD">
        <w:rPr>
          <w:rFonts w:ascii="Times New Roman" w:hAnsi="Times New Roman" w:cs="Times New Roman"/>
          <w:b/>
          <w:sz w:val="28"/>
          <w:szCs w:val="28"/>
          <w:lang w:val="ru-RU"/>
        </w:rPr>
        <w:t>Не бизнес в одностороннем порядке, а общество определяет, что же является социально-ответственным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7942" w:rsidRPr="00F413DD" w:rsidRDefault="00ED63A9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КСО бизнеса не может заменить государство, роль которого отлична от роли бизнеса.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Ответственность — это не «добровольная концепция», а права человека должны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соблюдаться не «по желанию», даже если юридические обязательства не закреплены</w:t>
      </w:r>
      <w:r w:rsidR="00DC0C88" w:rsidRPr="00F413DD">
        <w:rPr>
          <w:rFonts w:ascii="Times New Roman" w:hAnsi="Times New Roman" w:cs="Times New Roman"/>
          <w:sz w:val="28"/>
          <w:szCs w:val="28"/>
          <w:lang w:val="ru-RU"/>
        </w:rPr>
        <w:t>, например, национальным законодательством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В концепции КСО акцент делается на «положительный вклад»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который бизнес решает внести в одностороннем порядке. В новом понимании акцент ставится на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неблагоприятном воздействии на окружение, </w:t>
      </w:r>
      <w:r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проблему чего и должен решать бизнес.</w:t>
      </w:r>
      <w:r w:rsidR="00DC0C88" w:rsidRPr="00F413D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У бизнеса не должно быть выбора</w:t>
      </w:r>
      <w:r w:rsidR="00DC0C88" w:rsidRPr="00F413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какие права человека соблюдать, а какие </w:t>
      </w:r>
      <w:r w:rsidR="00DC0C88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нет. Бизнес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должен соблюдать все </w:t>
      </w:r>
      <w:proofErr w:type="spell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международно</w:t>
      </w:r>
      <w:proofErr w:type="spell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признанные права человека. </w:t>
      </w:r>
      <w:r w:rsidR="00DC0C88" w:rsidRPr="00F413D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изнес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должен нести ответственность за вред, нанесенный другим</w:t>
      </w:r>
      <w:r w:rsidR="00274BE2" w:rsidRPr="00F413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BE2" w:rsidRPr="00F413DD" w:rsidRDefault="00274BE2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4BE2" w:rsidRPr="00F413DD" w:rsidRDefault="00274BE2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бизнеса не прекращается на «первом уровне»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цепочки поставок, но распространяется на все негативные последствия, которые могут быть напрямую связаны с производством, продукцией или услугами такого бизнеса. Концепт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бизнес-партнерства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шире, чем «цепочка поставок» и может включать косвенные трудовые отношения (например, заемный труд и зависимые подрядчики), которые</w:t>
      </w:r>
      <w:r w:rsidR="00DC0C88" w:rsidRPr="00F413DD">
        <w:rPr>
          <w:rFonts w:ascii="Times New Roman" w:hAnsi="Times New Roman" w:cs="Times New Roman"/>
          <w:sz w:val="28"/>
          <w:szCs w:val="28"/>
          <w:lang w:val="ru-RU"/>
        </w:rPr>
        <w:t>, например,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препятствуют объединению трудящихся и коллективным переговорам.</w:t>
      </w:r>
    </w:p>
    <w:p w:rsidR="00274BE2" w:rsidRPr="00F413DD" w:rsidRDefault="00274BE2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4BE2" w:rsidRPr="00F413DD" w:rsidRDefault="00274BE2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b/>
          <w:sz w:val="28"/>
          <w:szCs w:val="28"/>
          <w:lang w:val="ru-RU"/>
        </w:rPr>
        <w:t>Понятие комплексного анализа относится к различным постоянным процессам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— это не «инструмент», который можно применить при необходимости, а затем вновь «убрать» на место. Процессы же могут иметь своей целью выявление потенциальных негативных последствий с целью их предотвращения или смягчение пагубного воздействия.</w:t>
      </w:r>
    </w:p>
    <w:p w:rsidR="00274BE2" w:rsidRPr="00F413DD" w:rsidRDefault="00274BE2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4BE2" w:rsidRPr="00F413DD" w:rsidRDefault="00274BE2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Стандартом является не просто «</w:t>
      </w:r>
      <w:proofErr w:type="spell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ненанесение</w:t>
      </w:r>
      <w:proofErr w:type="spell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вреда», но и </w:t>
      </w:r>
      <w:r w:rsidRPr="00F413DD">
        <w:rPr>
          <w:rFonts w:ascii="Times New Roman" w:hAnsi="Times New Roman" w:cs="Times New Roman"/>
          <w:b/>
          <w:sz w:val="28"/>
          <w:szCs w:val="28"/>
          <w:lang w:val="ru-RU"/>
        </w:rPr>
        <w:t>активные шаги для предотвращения нанесения вреда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. Бизнес должен быть в состоянии продемонстрировать, какие шаги были предприняты. Эти шаги могут включать несудебные механизмы разрешения споров, которые относятся к части правовой защиты Руководящих принципов. </w:t>
      </w:r>
      <w:r w:rsidR="009242DE" w:rsidRPr="00F413DD">
        <w:rPr>
          <w:rFonts w:ascii="Times New Roman" w:hAnsi="Times New Roman" w:cs="Times New Roman"/>
          <w:sz w:val="28"/>
          <w:szCs w:val="28"/>
          <w:lang w:val="ru-RU"/>
        </w:rPr>
        <w:t>Но п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рофсоюзы должны принять к сведению, что там содержится предупреждение, что такие механизмы разрешения споров «не должны быть использованы для размывания роли легитимных профсоюзов».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Профсоюзы могут использовать Руководящие принципы ООН: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• для решения проблем и наполнения значимостью процедуры комплексного анализа с применением механизмов руководства ОЭСР и других межправительственных механизмов, таких как МФК;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• для воздействия на политику правительства и законодательство в области поведения бизнеса;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• для борьбы с неустойчивой занятостью и требований трудовых отношений в цепочке поставок;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• для влияния на межправительственные организации (МОТ, Всемирный банк,</w:t>
      </w:r>
      <w:r w:rsidR="00E16F50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ОЭСР и другие)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• для оценки и изменения программ КСО;</w:t>
      </w:r>
    </w:p>
    <w:p w:rsidR="00084B91" w:rsidRPr="00F413DD" w:rsidRDefault="00084B9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Профсоюзы также могут использовать Руководящие принципы для вовлечения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компаний: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• в решение конкретных проблем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• в расширение диапазона рамочных соглашений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• в изменение концепции социального диалога; решение проблем неустойчивой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занятости и отношений в цепочке поставок; а также</w:t>
      </w:r>
    </w:p>
    <w:p w:rsidR="000028C1" w:rsidRPr="00F413DD" w:rsidRDefault="000028C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• в оценку политики компаний и нефинансовой отчетности.</w:t>
      </w:r>
    </w:p>
    <w:p w:rsidR="00084B91" w:rsidRPr="00F413DD" w:rsidRDefault="00084B9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6F50" w:rsidRPr="00F413DD" w:rsidRDefault="00E16F50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Руководящие принципы не предлагают механизм ООН для анализа вопросов, для рассмотрения жалоб на конкретные компании, для разрешения споров или для расследования обвинений в корпоративных проступках. Совет по правам человека ООН объединил пять членов в Рабочую группу, в которую вошли независимые эксперты, в чьи полномочия входят такие функции как продвижение Руководящих принципов, выявление и обмен передовой практикой и предъявление рекомендаций.</w:t>
      </w:r>
    </w:p>
    <w:p w:rsidR="00E16F50" w:rsidRPr="00F413DD" w:rsidRDefault="00E16F50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6F50" w:rsidRPr="00F413DD" w:rsidRDefault="00E16F50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Руководящие принципы были учтены при пересмотре Руководства ОЭСР по МНК. Это еще один важный документ для профсоюзов относительно деятельности МНК. При ОЭСР существуют консультативные органы работодателей и профсоюзов (Профсоюзный Консультативный Комитет), которые непосредственно участвовали в процессе пересмотра руководства. </w:t>
      </w:r>
      <w:r w:rsidR="00BE007B" w:rsidRPr="00F413DD">
        <w:rPr>
          <w:rFonts w:ascii="Times New Roman" w:hAnsi="Times New Roman" w:cs="Times New Roman"/>
          <w:sz w:val="28"/>
          <w:szCs w:val="28"/>
          <w:lang w:val="ru-RU"/>
        </w:rPr>
        <w:t>Пересмотренное Руководство принято в 2011 году. Этот документ подписали 43 страны – 34 страны-члены ОЭСР и еще 9 присоединившихся стран.</w:t>
      </w:r>
    </w:p>
    <w:p w:rsidR="00BE007B" w:rsidRPr="00F413DD" w:rsidRDefault="00BE007B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1E99" w:rsidRPr="00F413DD" w:rsidRDefault="00C6286B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Данный документ четко ссылается на нормы МОТ, учитывает понятие «должной заботы», превентивный подход</w:t>
      </w:r>
      <w:r w:rsidR="007A1A38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 и консультации с заинтересованными сторонами по вопросам прав человека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. Также Руководство внедряет ответственность за цепочки поставщиков и субподрядчиков. </w:t>
      </w:r>
    </w:p>
    <w:p w:rsidR="00EF1E99" w:rsidRPr="00F413DD" w:rsidRDefault="00EF1E99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86B" w:rsidRPr="00F413DD" w:rsidRDefault="00C6286B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Важным достижением Руководство является принятие странами-подписантами обязательств по созданию механизмов мониторинга соответствия деятельности МНК основополагающим международным нормам, в том числе в сфере трудовой деятельности.</w:t>
      </w:r>
    </w:p>
    <w:p w:rsidR="00C6286B" w:rsidRPr="00F413DD" w:rsidRDefault="00C6286B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1FEB" w:rsidRPr="00F413DD" w:rsidRDefault="00BB1FEB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Руководством, каждая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стран-подписант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, обязана создать национальный контактный пункт. Нет конкретного предписания, каким образом должен быть учрежден и как должен данный орган работать. В разных странах его структура различна. В одних – это правительственное учреждение, в других – трехсторонний орган, в третьих – независимое агентство. </w:t>
      </w:r>
      <w:r w:rsidR="008D32A9" w:rsidRPr="00F413DD">
        <w:rPr>
          <w:rFonts w:ascii="Times New Roman" w:hAnsi="Times New Roman" w:cs="Times New Roman"/>
          <w:sz w:val="28"/>
          <w:szCs w:val="28"/>
          <w:lang w:val="ru-RU"/>
        </w:rPr>
        <w:t>Несмотря на различие структуры, эти НКП призваны осуществлять единые функции: рассматривать информацию о несоответствии деятельности Руководству и предпринимать шаги по исправлению положения.</w:t>
      </w:r>
    </w:p>
    <w:p w:rsidR="00872339" w:rsidRPr="00F413DD" w:rsidRDefault="00872339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621" w:rsidRPr="00F413DD" w:rsidRDefault="00872339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Любая заинтересованная сторона может направить информацию в НКП – профсоюзы, муниципалитеты, экологические организации, потребители и т.п. Эта информация или жалоба должна содержать информацию о деятельности конкретной МНК, которая, соответственно, несет вред (может нанести вред). При этом в сферу внимания может попадать не только сама корпорация, но и ее дочерние, </w:t>
      </w:r>
      <w:proofErr w:type="spell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аффилиированные</w:t>
      </w:r>
      <w:proofErr w:type="spell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 а также участники соответствующих цепочек поставщиков и подрядчиков.</w:t>
      </w:r>
      <w:r w:rsidR="00A76621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Эта жалоба может быть направлена в НКП в той стране, где </w:t>
      </w:r>
      <w:r w:rsidR="00A76621"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деятельность МНК несет вред, или же в НКП той страны, где располагается штаб-квартира МНК. </w:t>
      </w:r>
    </w:p>
    <w:p w:rsidR="00A76621" w:rsidRPr="00F413DD" w:rsidRDefault="00A7662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621" w:rsidRPr="00F413DD" w:rsidRDefault="00A76621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рассмотрения включает первичное рассмотрение, в случае подтверждения информации </w:t>
      </w:r>
      <w:r w:rsidR="00EF1E99" w:rsidRPr="00F413DD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быть осуществлены попытки посредничества и нейтрализации вредного воздействия. </w:t>
      </w:r>
      <w:r w:rsidR="007A1A38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 ходе рассмотрения НКП может запросить дополнительную информацию от компании или заинтересованной стороны. Вне зависимости от того, успешным ли было посредничество или нет, завершающая стадия процедуры – публикация окончательной оценки ситуации НКП. </w:t>
      </w:r>
    </w:p>
    <w:p w:rsidR="007A1A38" w:rsidRPr="00F413DD" w:rsidRDefault="007A1A38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1A38" w:rsidRPr="00F413DD" w:rsidRDefault="007A1A38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Конечно, этот механизм не может заменить собой существующие юридические процессы и механизмы –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МОТ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0460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 Совете Европы или в Европейском союзе. НКП не выдают предписания, у них нет на это полномочий. Однако сам процесс рассмотрения ситуации и его публичность могут сыграть позитивную роль, особенно в отношении компаний, позиционирующих себя как социально-ответственные. На настоящий момент профсоюзами было направлено 144 жалобы. На сайте </w:t>
      </w:r>
      <w:hyperlink r:id="rId9" w:history="1">
        <w:r w:rsidR="00F0460B" w:rsidRPr="00F413D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http://www.tuacoecdmneguidelines.org/Home.asp</w:t>
        </w:r>
      </w:hyperlink>
      <w:r w:rsidR="00F0460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приводится информация о данных случаях. Неудивительно, что большинство профсоюзных случаев </w:t>
      </w:r>
      <w:proofErr w:type="gramStart"/>
      <w:r w:rsidR="00F0460B" w:rsidRPr="00F413DD">
        <w:rPr>
          <w:rFonts w:ascii="Times New Roman" w:hAnsi="Times New Roman" w:cs="Times New Roman"/>
          <w:sz w:val="28"/>
          <w:szCs w:val="28"/>
          <w:lang w:val="ru-RU"/>
        </w:rPr>
        <w:t>связаны</w:t>
      </w:r>
      <w:proofErr w:type="gramEnd"/>
      <w:r w:rsidR="00F0460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с правом на объединение. В 51 случае профсоюзы позитивно оценивают развитие ситуации, то есть механизм НКП помог разрешить существовавшие проблемы и жалоба или была отозвана или посредничество увенчалось успехом. </w:t>
      </w:r>
    </w:p>
    <w:p w:rsidR="00F0460B" w:rsidRPr="00F413DD" w:rsidRDefault="00F0460B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207E" w:rsidRPr="00F413DD" w:rsidRDefault="00D7207E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 мире бизнеса значительное внимание уделяется различным стандартам деятельности. На международном уровне подобными стандартами занимается Международная Организация по Стандартизации. Некоторое время назад данная организация выпустила ряд стандартов и по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социальной ответственности бизнеса. </w:t>
      </w:r>
      <w:r w:rsidR="003E6B7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Наибольший интерес для профсоюзов представляет </w:t>
      </w:r>
      <w:r w:rsidR="003E6B79" w:rsidRPr="00F413D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3E6B7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26000, являющийся наиболее полным сводом социальных обязательств бизнеса. </w:t>
      </w:r>
    </w:p>
    <w:p w:rsidR="003E6B79" w:rsidRPr="00F413DD" w:rsidRDefault="003E6B79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6B79" w:rsidRPr="00F413DD" w:rsidRDefault="003E6B79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Подобная деятельность МОС имеет должна рассматриваться профсоюзами с двух сторон. Во-первых, есть ряд позитивных элементов, на которые можно ссылаться. Раздел по правам трудящихся основан на нормах МОТ. Руководящие принципы по вопросам бизнеса и прав человека учтены. </w:t>
      </w:r>
      <w:r w:rsidR="007E73EA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Соответственно, организации не могут сами решать, что является их ответственностью перед обществом. Общество имеет ожидания относительно социально-ответственного поведения. Добровольные инициативы не могут подменить собой социальную ответственность. </w:t>
      </w:r>
      <w:r w:rsidR="00BA4F05" w:rsidRPr="00F413DD">
        <w:rPr>
          <w:rFonts w:ascii="Times New Roman" w:hAnsi="Times New Roman" w:cs="Times New Roman"/>
          <w:sz w:val="28"/>
          <w:szCs w:val="28"/>
          <w:lang w:val="ru-RU"/>
        </w:rPr>
        <w:t>Организации должны соблюдать универсальные права, даже если этого не обеспечивает государство. Понятия «устойчивое развитие» и «устойчивость организации» четко разделены.</w:t>
      </w:r>
    </w:p>
    <w:p w:rsidR="00BA4F05" w:rsidRPr="00F413DD" w:rsidRDefault="00BA4F05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714" w:rsidRPr="00F413DD" w:rsidRDefault="00BA4F05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Во-вторых, профсоюзы должны критически подходить к деятельности МОС. МОС – это частная инициатива, это сеть государственных учреждений по статистике. Она создает «добровольные» стандарты. В то же время многие организации, а зачастую и государственные деятели, трактуют эти стандарты как универсальные</w:t>
      </w:r>
      <w:r w:rsidR="00EF1E9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или ставят их в один ряд с ромами МОТ, девальвируя последние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. Это в корне неверно. Международные стандарты в сфере труда разрабатывает МОТ на трехстороннем уровне. Мы не хотим, чтобы МОС разрабатывала стандарты, которые входят в сферу компетенции МОТ, создавая почву для манипулирования общественным созданием. Второй критический элемент – процесс оценки соответствия стандартам. Кто, почему и на каком основании оценивает? «Независимые эксперты» не могут адекватно оценить происходящие внутри компании процессы</w:t>
      </w:r>
      <w:r w:rsidR="009C7714" w:rsidRPr="00F413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4F05" w:rsidRPr="00F413DD" w:rsidRDefault="00BA4F05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3E6B79" w:rsidRPr="00F413DD" w:rsidRDefault="00C33686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</w:t>
      </w:r>
      <w:r w:rsidR="00EF1E99" w:rsidRPr="00F413D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инансовые </w:t>
      </w:r>
      <w:r w:rsidR="00EF1E99" w:rsidRPr="00F413DD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тоже могут быть использованы в целях реализации прав трудящихся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конкретных МНК. Это стало результатом многолетней работы международного профсоюзного движения. Финансовые учреждения, предоставляющие займы частному сектору на проекты развития признают, что для содействия устойчивому развитию компании не только должны осуществлять </w:t>
      </w:r>
      <w:proofErr w:type="gramStart"/>
      <w:r w:rsidRPr="00F413DD">
        <w:rPr>
          <w:rFonts w:ascii="Times New Roman" w:hAnsi="Times New Roman" w:cs="Times New Roman"/>
          <w:sz w:val="28"/>
          <w:szCs w:val="28"/>
          <w:lang w:val="ru-RU"/>
        </w:rPr>
        <w:t>бизнес-проекты</w:t>
      </w:r>
      <w:proofErr w:type="gram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, но и сами соответствовать принципам устойчивого развития. </w:t>
      </w:r>
    </w:p>
    <w:p w:rsidR="002B55D7" w:rsidRPr="00F413DD" w:rsidRDefault="002B55D7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5D7" w:rsidRPr="00F413DD" w:rsidRDefault="002B55D7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Так, в 2006 году Международная Финансовая Корпорация, структура Всемирного Банка, предоставляющие кредиты частному сектору, внедряет стандарты деятельности МФП (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2), которые включают в себя основополагающие права трудящихся. Аналогичные стандарты внедряет в 2008 году Европейский Банк Реконструкции и Развития. В ЕБРР они называются Требованиям к реализации проектов. В 2009 году МФК вводит ускоренную процедуру рассмотрения жалоб на соблюдение заемщиками стандартов деятельности, а в 2011 году пересматривает стандарты, </w:t>
      </w:r>
      <w:r w:rsidR="00F0733B" w:rsidRPr="00F413DD">
        <w:rPr>
          <w:rFonts w:ascii="Times New Roman" w:hAnsi="Times New Roman" w:cs="Times New Roman"/>
          <w:sz w:val="28"/>
          <w:szCs w:val="28"/>
          <w:lang w:val="ru-RU"/>
        </w:rPr>
        <w:t>увязывая их с вопросами сокращения штатов, а также правами трудящихся – мигрантов.</w:t>
      </w:r>
      <w:r w:rsidR="009E2EE7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время Всемирный Банк начал процесс пересмотра своей политики, и МКП настойчиво рекомендует </w:t>
      </w:r>
      <w:r w:rsidR="00EF1E9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ВБ </w:t>
      </w:r>
      <w:r w:rsidR="009E2EE7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принять всеобъемлющие гарантии по основополагающим правам. </w:t>
      </w:r>
    </w:p>
    <w:p w:rsidR="00ED24F7" w:rsidRPr="00F413DD" w:rsidRDefault="00ED24F7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934" w:rsidRPr="00F413DD" w:rsidRDefault="00C05934" w:rsidP="00F413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Стандарты </w:t>
      </w:r>
      <w:r w:rsidR="00EF1E9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 сфере трудовых отношений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основывают</w:t>
      </w:r>
      <w:r w:rsidR="00EF1E99" w:rsidRPr="00F413DD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на базовых конвенциях МОТ. На этапе подачи заявки на кредит, компании-заемщики обязаны предоставить планы действий и социальной и экологической оценки для устранения потенциальных рисков и воздействий. Эти планы должны быть публичными, более того, МФК сама публикует эти планы на своем вебсайте (</w:t>
      </w:r>
      <w:hyperlink r:id="rId10" w:history="1">
        <w:r w:rsidR="00B63646" w:rsidRPr="00F413D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63646" w:rsidRPr="00F413D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63646" w:rsidRPr="00F413D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ifc</w:t>
        </w:r>
        <w:proofErr w:type="spellEnd"/>
        <w:r w:rsidR="00B63646" w:rsidRPr="00F413D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63646" w:rsidRPr="00F413D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B63646" w:rsidRPr="00F413D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B63646" w:rsidRPr="00F413D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projects</w:t>
        </w:r>
      </w:hyperlink>
      <w:r w:rsidR="00B63646" w:rsidRPr="00F413DD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6CD7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Любая заинтересованная сторона </w:t>
      </w:r>
      <w:r w:rsidR="00816CD7"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может направить жалобу на несоблюдение </w:t>
      </w:r>
      <w:r w:rsidR="00816CD7" w:rsidRPr="00F413D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816CD7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2 в Департамент МФК по окружающей среде и социальному развитию, а также консультанту МФК по соответствию требованиям / Омбудсмену. Соответственно, МФК может посчитать компанию-заемщика </w:t>
      </w:r>
      <w:proofErr w:type="gramStart"/>
      <w:r w:rsidR="00816CD7" w:rsidRPr="00F413DD">
        <w:rPr>
          <w:rFonts w:ascii="Times New Roman" w:hAnsi="Times New Roman" w:cs="Times New Roman"/>
          <w:sz w:val="28"/>
          <w:szCs w:val="28"/>
          <w:lang w:val="ru-RU"/>
        </w:rPr>
        <w:t>несоответствующей</w:t>
      </w:r>
      <w:proofErr w:type="gramEnd"/>
      <w:r w:rsidR="00816CD7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стандартам, отказать в финансировании, приостановить оное или даже потребовать возврата кредита. </w:t>
      </w:r>
      <w:r w:rsidR="00EF1E9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Офис Глобальных Союзов в Вашингтоне готов содействовать профсоюзам в подаче жалобы и мониторинге ее рассмотрения. </w:t>
      </w:r>
    </w:p>
    <w:p w:rsidR="003C39A8" w:rsidRPr="00F413DD" w:rsidRDefault="00816CD7" w:rsidP="00F413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На настоящее время профсоюзы представили 31 дело, и офис МКП-ГС в Вашингтоне участвовал в 27 делах. По оценке ГС, из этих дел, положительные результаты достигнуты в 10 случаях, то есть компания устранила нарушения или договорилась с профсоюзом, в 3 случаях было прекращено финансирование, а еще в двух трансфер был заморожен. Неудовлетворительный ответ был получен в четырех случаях. А еще в девяти случаях профсоюзы отозвали жалобу.</w:t>
      </w:r>
      <w:r w:rsidR="00EF1E9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Один из этих случаев из региона СНГ.</w:t>
      </w:r>
    </w:p>
    <w:p w:rsidR="003C39A8" w:rsidRPr="00F413DD" w:rsidRDefault="002C4E5A" w:rsidP="00F413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Профсоюзы могут также влиять на принятие решений инвесторами, в первую очередь, на организации, которые управляют капиталом трудящихся, то есть тем капиталом, который аккумулируется схемами коллективного накопления сбережений трудящихся. В первую очередь, это – пенсионные фонды. Многие подобные фонды приняли политику «устойчивых инвестиций», в том числе признавая неустойчивость вложений в недобропорядочные компании. Коалиции инвесторов могут добиться изменения </w:t>
      </w:r>
      <w:r w:rsidR="00EF1E99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политики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компании, акционерами которых являются. Профсоюзы, со своей стороны, должны взаимодействовать со своими доверенными лицами, участвующи</w:t>
      </w:r>
      <w:r w:rsidR="00F57884" w:rsidRPr="00F413D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в управлении фондами, готовить и обучать их по вопросам инвестирования, а также влиять на политику фондов. </w:t>
      </w:r>
      <w:r w:rsidR="00F57884" w:rsidRPr="00F413DD">
        <w:rPr>
          <w:rFonts w:ascii="Times New Roman" w:hAnsi="Times New Roman" w:cs="Times New Roman"/>
          <w:sz w:val="28"/>
          <w:szCs w:val="28"/>
          <w:lang w:val="ru-RU"/>
        </w:rPr>
        <w:t>В этих целях н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а международном уровне был создан Комитет по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капиталу трудящихся, открытый для членских организаций МКП, ПКК и ГС, который </w:t>
      </w:r>
      <w:r w:rsidR="003C39A8" w:rsidRPr="00F413DD">
        <w:rPr>
          <w:rFonts w:ascii="Times New Roman" w:hAnsi="Times New Roman" w:cs="Times New Roman"/>
          <w:sz w:val="28"/>
          <w:szCs w:val="28"/>
          <w:lang w:val="ru-RU"/>
        </w:rPr>
        <w:t>содействует этой деятельности.</w:t>
      </w:r>
    </w:p>
    <w:p w:rsidR="00C05934" w:rsidRPr="00F413DD" w:rsidRDefault="00C05934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4F7" w:rsidRPr="00F413DD" w:rsidRDefault="001C060F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В последнее время все большее внимание уделяется негосударственным частным инициативам продвижения социально ответственного бизнеса. В</w:t>
      </w:r>
      <w:r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участвуют</w:t>
      </w:r>
      <w:r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множество</w:t>
      </w:r>
      <w:r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Pr="00F413DD">
        <w:rPr>
          <w:rFonts w:ascii="Times New Roman" w:hAnsi="Times New Roman" w:cs="Times New Roman"/>
          <w:sz w:val="28"/>
          <w:szCs w:val="28"/>
        </w:rPr>
        <w:t xml:space="preserve">,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Oxfam</w:t>
      </w:r>
      <w:r w:rsidRPr="00F413DD">
        <w:rPr>
          <w:rFonts w:ascii="Times New Roman" w:hAnsi="Times New Roman" w:cs="Times New Roman"/>
          <w:sz w:val="28"/>
          <w:szCs w:val="28"/>
        </w:rPr>
        <w:t xml:space="preserve">,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Clean</w:t>
      </w:r>
      <w:r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Cloth</w:t>
      </w:r>
      <w:r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Campaign</w:t>
      </w:r>
      <w:r w:rsidRPr="00F413DD">
        <w:rPr>
          <w:rFonts w:ascii="Times New Roman" w:hAnsi="Times New Roman" w:cs="Times New Roman"/>
          <w:sz w:val="28"/>
          <w:szCs w:val="28"/>
        </w:rPr>
        <w:t xml:space="preserve">,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Ethical</w:t>
      </w:r>
      <w:r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Initiative</w:t>
      </w:r>
      <w:r w:rsidRPr="00F413DD">
        <w:rPr>
          <w:rFonts w:ascii="Times New Roman" w:hAnsi="Times New Roman" w:cs="Times New Roman"/>
          <w:sz w:val="28"/>
          <w:szCs w:val="28"/>
        </w:rPr>
        <w:t xml:space="preserve">, </w:t>
      </w:r>
      <w:r w:rsidR="006769D0" w:rsidRPr="00F413DD">
        <w:rPr>
          <w:rFonts w:ascii="Times New Roman" w:hAnsi="Times New Roman" w:cs="Times New Roman"/>
          <w:sz w:val="28"/>
          <w:szCs w:val="28"/>
          <w:lang w:val="en-US"/>
        </w:rPr>
        <w:t xml:space="preserve">Fair </w:t>
      </w:r>
      <w:proofErr w:type="spellStart"/>
      <w:r w:rsidR="006769D0" w:rsidRPr="00F413DD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6769D0" w:rsidRPr="00F413DD">
        <w:rPr>
          <w:rFonts w:ascii="Times New Roman" w:hAnsi="Times New Roman" w:cs="Times New Roman"/>
          <w:sz w:val="28"/>
          <w:szCs w:val="28"/>
          <w:lang w:val="en-US"/>
        </w:rPr>
        <w:t xml:space="preserve"> Association, Fair Wear Association, Social Accountability International, Workers Rights </w:t>
      </w:r>
      <w:proofErr w:type="spellStart"/>
      <w:r w:rsidR="006769D0" w:rsidRPr="00F413DD">
        <w:rPr>
          <w:rFonts w:ascii="Times New Roman" w:hAnsi="Times New Roman" w:cs="Times New Roman"/>
          <w:sz w:val="28"/>
          <w:szCs w:val="28"/>
          <w:lang w:val="en-US"/>
        </w:rPr>
        <w:t>Consortsium</w:t>
      </w:r>
      <w:proofErr w:type="spellEnd"/>
      <w:r w:rsidR="006769D0" w:rsidRPr="00F41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9D0" w:rsidRPr="00F413D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769D0" w:rsidRPr="00F413DD">
        <w:rPr>
          <w:rFonts w:ascii="Times New Roman" w:hAnsi="Times New Roman" w:cs="Times New Roman"/>
          <w:sz w:val="28"/>
          <w:szCs w:val="28"/>
        </w:rPr>
        <w:t xml:space="preserve"> </w:t>
      </w:r>
      <w:r w:rsidR="006769D0" w:rsidRPr="00F413DD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 w:rsidR="006769D0" w:rsidRPr="00F413DD">
        <w:rPr>
          <w:rFonts w:ascii="Times New Roman" w:hAnsi="Times New Roman" w:cs="Times New Roman"/>
          <w:sz w:val="28"/>
          <w:szCs w:val="28"/>
        </w:rPr>
        <w:t xml:space="preserve">. </w:t>
      </w:r>
      <w:r w:rsidR="006769D0" w:rsidRPr="00F413DD">
        <w:rPr>
          <w:rFonts w:ascii="Times New Roman" w:hAnsi="Times New Roman" w:cs="Times New Roman"/>
          <w:sz w:val="28"/>
          <w:szCs w:val="28"/>
          <w:lang w:val="ru-RU"/>
        </w:rPr>
        <w:t>Одни из них «сертифицируют» добропорядочных производителей и их продукцию, другие отслеживают цепочки субподряда и продвигают кодексы поведения, третьи оценивают соблюдение стандартов социальной ответственности. В качестве примера, одна из таких организаций – Инициатива Глобального Отчета, цель которой – помочь компаниям в подготовке отчетности по КСО. ИГО включает в себя широкий круг экспертов и организаций, которые разрабатывают данные материалы (которые можно назвать модельным проектом должной отчетности</w:t>
      </w:r>
      <w:r w:rsidR="008276F4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). Из 79 индикаторов деятельности 14 связаны с достойным трудом, 9 с правами человека, при этом учитывается и деятельность  посредников и поставщиков.  </w:t>
      </w:r>
    </w:p>
    <w:p w:rsidR="003E6B79" w:rsidRPr="00F413DD" w:rsidRDefault="003E6B79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76F4" w:rsidRPr="00F413DD" w:rsidRDefault="00B72B2D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МКП совместно с Глобальными Союзами реализует ряд корпоративных кампаний, то есть компаний, нацеленных на изменение политики МНК через использование широкого ряда механизмов влияния – через работу с инвесторами, организациями гражданского общества, средствами массовой информации и т.п. </w:t>
      </w:r>
      <w:r w:rsidR="000C5E51" w:rsidRPr="00F413DD">
        <w:rPr>
          <w:rFonts w:ascii="Times New Roman" w:hAnsi="Times New Roman" w:cs="Times New Roman"/>
          <w:sz w:val="28"/>
          <w:szCs w:val="28"/>
          <w:lang w:val="ru-RU"/>
        </w:rPr>
        <w:t>Например, в данный момент МКП проводит кампании и ставит себе следующие цели:</w:t>
      </w:r>
    </w:p>
    <w:p w:rsidR="000C5E51" w:rsidRPr="00F413DD" w:rsidRDefault="000C5E5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- добиться соглашения между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Deutsche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Telekom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C5E51" w:rsidRPr="00F413DD" w:rsidRDefault="000C5E5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- добиться соглашения между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ITF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DHL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C5E51" w:rsidRPr="00F413DD" w:rsidRDefault="000C5E5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создание профсоюзов в </w:t>
      </w:r>
      <w:proofErr w:type="spellStart"/>
      <w:r w:rsidRPr="00F413DD">
        <w:rPr>
          <w:rFonts w:ascii="Times New Roman" w:hAnsi="Times New Roman" w:cs="Times New Roman"/>
          <w:sz w:val="28"/>
          <w:szCs w:val="28"/>
          <w:lang w:val="en-US"/>
        </w:rPr>
        <w:t>Swedwood</w:t>
      </w:r>
      <w:proofErr w:type="spellEnd"/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IKEA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) вместе с </w:t>
      </w:r>
      <w:r w:rsidRPr="00F413DD">
        <w:rPr>
          <w:rFonts w:ascii="Times New Roman" w:hAnsi="Times New Roman" w:cs="Times New Roman"/>
          <w:sz w:val="28"/>
          <w:szCs w:val="28"/>
          <w:lang w:val="en-US"/>
        </w:rPr>
        <w:t>BWI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5E51" w:rsidRPr="00F413DD" w:rsidRDefault="000C5E5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5E51" w:rsidRPr="00F413DD" w:rsidRDefault="000C5E51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>В ближайшее время будут определены следующие цели.</w:t>
      </w:r>
    </w:p>
    <w:p w:rsidR="000C5E51" w:rsidRPr="00F413DD" w:rsidRDefault="000C5E51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5E51" w:rsidRPr="00F413DD" w:rsidRDefault="000C5E51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Помимо корпоративных кампаний, МКП ведет тематические кампании, например, за ратификацию конвенции или против принудительного труда. </w:t>
      </w:r>
      <w:r w:rsidR="00CB3376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В связи с деятельностью МНК особый интерес представляет кампания «Играй честно», запущенная еще несколько лет назад. Эта кампания призвана улучшить ситуацию с правами трудящихся, занятых в спортивной индустрии. Гиганты индустрии чрезвычайно озабочены своим имиджем, и вкладывают миллиарды на приобретение </w:t>
      </w:r>
      <w:r w:rsidR="00100EAF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прав спонсорства и партнёрства различных спортивных мероприятий. Это элемент маркетинга и конкурентной борьбы за потребителей. </w:t>
      </w:r>
      <w:r w:rsidR="00F82BEF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Когда в 90е годы профсоюзы установили, что при производстве футбольных мячей для чемпионата мира </w:t>
      </w:r>
      <w:r w:rsidR="00F57884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по футболу </w:t>
      </w:r>
      <w:r w:rsidR="00F82BEF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используется детский труд, и сумели эту информацию донести до общественности, эти МНК стали разрабатывать и внедрять кодексы и этические принципы для своих субподрядчиков и поставщиков, стремясь снизить </w:t>
      </w:r>
      <w:proofErr w:type="spellStart"/>
      <w:r w:rsidR="00F82BEF" w:rsidRPr="00F413DD">
        <w:rPr>
          <w:rFonts w:ascii="Times New Roman" w:hAnsi="Times New Roman" w:cs="Times New Roman"/>
          <w:sz w:val="28"/>
          <w:szCs w:val="28"/>
          <w:lang w:val="ru-RU"/>
        </w:rPr>
        <w:t>репутационные</w:t>
      </w:r>
      <w:proofErr w:type="spellEnd"/>
      <w:r w:rsidR="00F82BEF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риски. </w:t>
      </w:r>
      <w:r w:rsidR="0040278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Лицензиаты и поставщики Олимпийских игр тоже обязываются следовать определенным этическим нормам, </w:t>
      </w:r>
      <w:r w:rsidR="002804FA" w:rsidRPr="00F413DD">
        <w:rPr>
          <w:rFonts w:ascii="Times New Roman" w:hAnsi="Times New Roman" w:cs="Times New Roman"/>
          <w:sz w:val="28"/>
          <w:szCs w:val="28"/>
          <w:lang w:val="ru-RU"/>
        </w:rPr>
        <w:t>которые предписаны</w:t>
      </w:r>
      <w:r w:rsidR="0040278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организаторами спортивных событий. </w:t>
      </w:r>
      <w:r w:rsidR="008031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при обнаружении детского труда на одной из фабрик официального производителя талисманов Олимпийских Игр Лондона, вмешался Комитет подготовки игр с требованием устранить. МФМ вела кампанию против антипрофсоюзной деятельности </w:t>
      </w:r>
      <w:proofErr w:type="spellStart"/>
      <w:r w:rsidR="008031E2" w:rsidRPr="00F413DD">
        <w:rPr>
          <w:rFonts w:ascii="Times New Roman" w:hAnsi="Times New Roman" w:cs="Times New Roman"/>
          <w:sz w:val="28"/>
          <w:szCs w:val="28"/>
          <w:lang w:val="en-US"/>
        </w:rPr>
        <w:t>RioTinto</w:t>
      </w:r>
      <w:proofErr w:type="spellEnd"/>
      <w:r w:rsidR="008031E2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, официального производителя медалей. </w:t>
      </w:r>
    </w:p>
    <w:p w:rsidR="000C777C" w:rsidRPr="00F413DD" w:rsidRDefault="000C777C" w:rsidP="00F4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777C" w:rsidRPr="00F413DD" w:rsidRDefault="00D81764" w:rsidP="00F413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Как вы видели, МКП очень тесно сотрудничает с глобальными союзами, которые стремятся вести диалог с МНК на глобальном уровне. В отличие от национального уровня, на международном уровне не </w:t>
      </w:r>
      <w:r w:rsidRPr="00F413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существуют нормативных обязательств вести диалог, однако очевидно, что профсоюзные организации в рамках отдельных МНК заинтересованы в подобном диалоге, в том числе, чтобы понимать и влиять на политику данных </w:t>
      </w:r>
      <w:r w:rsidR="00532B64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компаний, чтобы добиваться признания профсоюзных организаций в дочерних предприятиях. Эту деятельность координируют ГПФ, создавая свои международные советы. В отдельных случаях, когда на региональном уровне создаются определенные юридические нормы, как в Европейском Союзе, МНК обязаны консультироваться с профсоюзами. На глобальном же уровне профсоюзы стремятся добиться этого через заключение Рамочных Соглашений. </w:t>
      </w:r>
      <w:r w:rsidR="004D0DB7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Рамочного Соглашения де факто означает признание ГПФ как партнера. Это не настоящий коллективный договор – на международном уровне есть только один подобный договор – но этот документ согласует базовые принципы. Если оценивать отношение к Рамочным Соглашениям, то следует констатировать: зачастую «партнеры» воспринимают его по-разному.   Профсоюзы считают его элементом коллективных переговоров, МНК скорее как элемент социальной </w:t>
      </w:r>
      <w:r w:rsidR="001B080B" w:rsidRPr="00F413DD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 w:rsidR="004D0DB7" w:rsidRPr="00F413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080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В любом случае, это больше, чем ничего, и заключение соглашения часто открывает двери профсоюзным организатором, а также предотвращает нарушения профсоюзных прав. </w:t>
      </w:r>
      <w:r w:rsidR="00ED7579" w:rsidRPr="00F413DD">
        <w:rPr>
          <w:rFonts w:ascii="Times New Roman" w:hAnsi="Times New Roman" w:cs="Times New Roman"/>
          <w:sz w:val="28"/>
          <w:szCs w:val="28"/>
          <w:lang w:val="ru-RU"/>
        </w:rPr>
        <w:t>Следует отдавать отчет, однако, что заключение соглашения не заменяет собой ответственность конкретных государств за реализацию конвенций МОТ.</w:t>
      </w:r>
      <w:r w:rsidR="001B080B" w:rsidRPr="00F41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0C777C" w:rsidRPr="00F413D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9F" w:rsidRDefault="0084779F" w:rsidP="00EF2D60">
      <w:pPr>
        <w:spacing w:after="0" w:line="240" w:lineRule="auto"/>
      </w:pPr>
      <w:r>
        <w:separator/>
      </w:r>
    </w:p>
  </w:endnote>
  <w:endnote w:type="continuationSeparator" w:id="0">
    <w:p w:rsidR="0084779F" w:rsidRDefault="0084779F" w:rsidP="00EF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35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A57" w:rsidRDefault="00900A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ED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00A57" w:rsidRDefault="00900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9F" w:rsidRDefault="0084779F" w:rsidP="00EF2D60">
      <w:pPr>
        <w:spacing w:after="0" w:line="240" w:lineRule="auto"/>
      </w:pPr>
      <w:r>
        <w:separator/>
      </w:r>
    </w:p>
  </w:footnote>
  <w:footnote w:type="continuationSeparator" w:id="0">
    <w:p w:rsidR="0084779F" w:rsidRDefault="0084779F" w:rsidP="00EF2D60">
      <w:pPr>
        <w:spacing w:after="0" w:line="240" w:lineRule="auto"/>
      </w:pPr>
      <w:r>
        <w:continuationSeparator/>
      </w:r>
    </w:p>
  </w:footnote>
  <w:footnote w:id="1">
    <w:p w:rsidR="0084779F" w:rsidRPr="00EF2D60" w:rsidRDefault="0084779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EF2D60">
        <w:t>http://www.ohchr.org/RU/NewsEvents/Stories/Pages/Makingbusinessesrespecthumanrights.aspx</w:t>
      </w:r>
    </w:p>
  </w:footnote>
  <w:footnote w:id="2">
    <w:p w:rsidR="0084779F" w:rsidRPr="00ED63A9" w:rsidRDefault="0084779F" w:rsidP="00ED63A9">
      <w:pPr>
        <w:pStyle w:val="Default"/>
      </w:pPr>
      <w:r w:rsidRPr="00ED63A9">
        <w:rPr>
          <w:rStyle w:val="FootnoteReference"/>
        </w:rPr>
        <w:footnoteRef/>
      </w:r>
      <w:r w:rsidRPr="00ED63A9">
        <w:t xml:space="preserve"> </w:t>
      </w:r>
      <w:r w:rsidRPr="00ED63A9">
        <w:rPr>
          <w:rFonts w:asciiTheme="minorHAnsi" w:hAnsiTheme="minorHAnsi" w:cstheme="minorHAnsi"/>
          <w:sz w:val="20"/>
          <w:szCs w:val="20"/>
          <w:lang w:val="en-US"/>
        </w:rPr>
        <w:t>ITUC</w:t>
      </w:r>
      <w:r w:rsidRPr="00ED63A9">
        <w:rPr>
          <w:rFonts w:asciiTheme="minorHAnsi" w:hAnsiTheme="minorHAnsi" w:cstheme="minorHAnsi"/>
          <w:sz w:val="20"/>
          <w:szCs w:val="20"/>
        </w:rPr>
        <w:t xml:space="preserve"> </w:t>
      </w:r>
      <w:r w:rsidRPr="00ED63A9">
        <w:rPr>
          <w:rFonts w:asciiTheme="minorHAnsi" w:hAnsiTheme="minorHAnsi" w:cstheme="minorHAnsi"/>
          <w:bCs/>
          <w:sz w:val="20"/>
          <w:szCs w:val="20"/>
        </w:rPr>
        <w:t xml:space="preserve">Briefing Note for Trade Unionists </w:t>
      </w:r>
      <w:r w:rsidRPr="00ED63A9">
        <w:rPr>
          <w:rFonts w:asciiTheme="minorHAnsi" w:hAnsiTheme="minorHAnsi" w:cstheme="minorHAnsi"/>
          <w:sz w:val="20"/>
          <w:szCs w:val="20"/>
        </w:rPr>
        <w:t xml:space="preserve"> </w:t>
      </w:r>
      <w:r w:rsidRPr="00ED63A9">
        <w:rPr>
          <w:rFonts w:asciiTheme="minorHAnsi" w:hAnsiTheme="minorHAnsi" w:cstheme="minorHAnsi"/>
          <w:bCs/>
          <w:sz w:val="20"/>
          <w:szCs w:val="20"/>
        </w:rPr>
        <w:t>The United Nations “Protect, Respect, Remedy”</w:t>
      </w:r>
    </w:p>
  </w:footnote>
  <w:footnote w:id="3">
    <w:p w:rsidR="0084779F" w:rsidRPr="00B43D50" w:rsidRDefault="0084779F">
      <w:pPr>
        <w:pStyle w:val="FootnoteText"/>
      </w:pPr>
      <w:r>
        <w:rPr>
          <w:rStyle w:val="FootnoteReference"/>
        </w:rPr>
        <w:footnoteRef/>
      </w:r>
      <w:r w:rsidRPr="00B43D50">
        <w:t xml:space="preserve"> </w:t>
      </w:r>
      <w:r>
        <w:fldChar w:fldCharType="begin"/>
      </w:r>
      <w:r>
        <w:instrText xml:space="preserve"> HYPERLINK "http://www.ohchr.org/Documents/Issues/Business/RtRInterpretativeGuide.pdf" </w:instrText>
      </w:r>
      <w:r>
        <w:fldChar w:fldCharType="separate"/>
      </w:r>
      <w:r w:rsidRPr="004935D0">
        <w:rPr>
          <w:rStyle w:val="Hyperlink"/>
          <w:rFonts w:ascii="TrebuchetMS" w:hAnsi="TrebuchetMS" w:cs="TrebuchetMS"/>
        </w:rPr>
        <w:t>http</w:t>
      </w:r>
      <w:r w:rsidRPr="00B43D50">
        <w:rPr>
          <w:rStyle w:val="Hyperlink"/>
          <w:rFonts w:ascii="TrebuchetMS" w:hAnsi="TrebuchetMS" w:cs="TrebuchetMS"/>
        </w:rPr>
        <w:t>://</w:t>
      </w:r>
      <w:r w:rsidRPr="004935D0">
        <w:rPr>
          <w:rStyle w:val="Hyperlink"/>
          <w:rFonts w:ascii="TrebuchetMS" w:hAnsi="TrebuchetMS" w:cs="TrebuchetMS"/>
        </w:rPr>
        <w:t>www</w:t>
      </w:r>
      <w:r w:rsidRPr="00B43D50">
        <w:rPr>
          <w:rStyle w:val="Hyperlink"/>
          <w:rFonts w:ascii="TrebuchetMS" w:hAnsi="TrebuchetMS" w:cs="TrebuchetMS"/>
        </w:rPr>
        <w:t>.</w:t>
      </w:r>
      <w:proofErr w:type="spellStart"/>
      <w:r w:rsidRPr="004935D0">
        <w:rPr>
          <w:rStyle w:val="Hyperlink"/>
          <w:rFonts w:ascii="TrebuchetMS" w:hAnsi="TrebuchetMS" w:cs="TrebuchetMS"/>
        </w:rPr>
        <w:t>ohchr</w:t>
      </w:r>
      <w:proofErr w:type="spellEnd"/>
      <w:r w:rsidRPr="00B43D50">
        <w:rPr>
          <w:rStyle w:val="Hyperlink"/>
          <w:rFonts w:ascii="TrebuchetMS" w:hAnsi="TrebuchetMS" w:cs="TrebuchetMS"/>
        </w:rPr>
        <w:t>.</w:t>
      </w:r>
      <w:r w:rsidRPr="004935D0">
        <w:rPr>
          <w:rStyle w:val="Hyperlink"/>
          <w:rFonts w:ascii="TrebuchetMS" w:hAnsi="TrebuchetMS" w:cs="TrebuchetMS"/>
        </w:rPr>
        <w:t>org</w:t>
      </w:r>
      <w:r w:rsidRPr="00B43D50">
        <w:rPr>
          <w:rStyle w:val="Hyperlink"/>
          <w:rFonts w:ascii="TrebuchetMS" w:hAnsi="TrebuchetMS" w:cs="TrebuchetMS"/>
        </w:rPr>
        <w:t>/</w:t>
      </w:r>
      <w:r w:rsidRPr="004935D0">
        <w:rPr>
          <w:rStyle w:val="Hyperlink"/>
          <w:rFonts w:ascii="TrebuchetMS" w:hAnsi="TrebuchetMS" w:cs="TrebuchetMS"/>
        </w:rPr>
        <w:t>Documents</w:t>
      </w:r>
      <w:r w:rsidRPr="00B43D50">
        <w:rPr>
          <w:rStyle w:val="Hyperlink"/>
          <w:rFonts w:ascii="TrebuchetMS" w:hAnsi="TrebuchetMS" w:cs="TrebuchetMS"/>
        </w:rPr>
        <w:t>/</w:t>
      </w:r>
      <w:r w:rsidRPr="004935D0">
        <w:rPr>
          <w:rStyle w:val="Hyperlink"/>
          <w:rFonts w:ascii="TrebuchetMS" w:hAnsi="TrebuchetMS" w:cs="TrebuchetMS"/>
        </w:rPr>
        <w:t>Issues</w:t>
      </w:r>
      <w:r w:rsidRPr="00B43D50">
        <w:rPr>
          <w:rStyle w:val="Hyperlink"/>
          <w:rFonts w:ascii="TrebuchetMS" w:hAnsi="TrebuchetMS" w:cs="TrebuchetMS"/>
        </w:rPr>
        <w:t>/</w:t>
      </w:r>
      <w:r w:rsidRPr="004935D0">
        <w:rPr>
          <w:rStyle w:val="Hyperlink"/>
          <w:rFonts w:ascii="TrebuchetMS" w:hAnsi="TrebuchetMS" w:cs="TrebuchetMS"/>
        </w:rPr>
        <w:t>Business</w:t>
      </w:r>
      <w:r w:rsidRPr="00B43D50">
        <w:rPr>
          <w:rStyle w:val="Hyperlink"/>
          <w:rFonts w:ascii="TrebuchetMS" w:hAnsi="TrebuchetMS" w:cs="TrebuchetMS"/>
        </w:rPr>
        <w:t>/</w:t>
      </w:r>
      <w:proofErr w:type="spellStart"/>
      <w:r w:rsidRPr="004935D0">
        <w:rPr>
          <w:rStyle w:val="Hyperlink"/>
          <w:rFonts w:ascii="TrebuchetMS" w:hAnsi="TrebuchetMS" w:cs="TrebuchetMS"/>
        </w:rPr>
        <w:t>RtRInterpretativeGuide</w:t>
      </w:r>
      <w:proofErr w:type="spellEnd"/>
      <w:r w:rsidRPr="00B43D50">
        <w:rPr>
          <w:rStyle w:val="Hyperlink"/>
          <w:rFonts w:ascii="TrebuchetMS" w:hAnsi="TrebuchetMS" w:cs="TrebuchetMS"/>
        </w:rPr>
        <w:t>.</w:t>
      </w:r>
      <w:proofErr w:type="spellStart"/>
      <w:r w:rsidRPr="004935D0">
        <w:rPr>
          <w:rStyle w:val="Hyperlink"/>
          <w:rFonts w:ascii="TrebuchetMS" w:hAnsi="TrebuchetMS" w:cs="TrebuchetMS"/>
        </w:rPr>
        <w:t>pdf</w:t>
      </w:r>
      <w:proofErr w:type="spellEnd"/>
      <w:r>
        <w:rPr>
          <w:rStyle w:val="Hyperlink"/>
          <w:rFonts w:ascii="TrebuchetMS" w:hAnsi="TrebuchetMS" w:cs="TrebuchetMS"/>
        </w:rPr>
        <w:fldChar w:fldCharType="end"/>
      </w:r>
      <w:r w:rsidRPr="00B43D50">
        <w:rPr>
          <w:rFonts w:cs="TrebuchetM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B5F"/>
    <w:multiLevelType w:val="hybridMultilevel"/>
    <w:tmpl w:val="149AB7A6"/>
    <w:lvl w:ilvl="0" w:tplc="1194E1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201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C5C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25A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8E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17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43B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E0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E31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A360C7"/>
    <w:multiLevelType w:val="hybridMultilevel"/>
    <w:tmpl w:val="2BD4E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B3"/>
    <w:rsid w:val="000028C1"/>
    <w:rsid w:val="00032D58"/>
    <w:rsid w:val="000512AF"/>
    <w:rsid w:val="00084B91"/>
    <w:rsid w:val="000C5E51"/>
    <w:rsid w:val="000C777C"/>
    <w:rsid w:val="00100EAF"/>
    <w:rsid w:val="00133EDA"/>
    <w:rsid w:val="00165A9D"/>
    <w:rsid w:val="0018559B"/>
    <w:rsid w:val="001B080B"/>
    <w:rsid w:val="001C060F"/>
    <w:rsid w:val="001D61DE"/>
    <w:rsid w:val="00274BE2"/>
    <w:rsid w:val="002804FA"/>
    <w:rsid w:val="002920D0"/>
    <w:rsid w:val="002B55D7"/>
    <w:rsid w:val="002C4E5A"/>
    <w:rsid w:val="003746F1"/>
    <w:rsid w:val="003C39A8"/>
    <w:rsid w:val="003E6B79"/>
    <w:rsid w:val="003F389C"/>
    <w:rsid w:val="0040278B"/>
    <w:rsid w:val="004D0DB7"/>
    <w:rsid w:val="00532B64"/>
    <w:rsid w:val="00653D68"/>
    <w:rsid w:val="006769D0"/>
    <w:rsid w:val="007A1A38"/>
    <w:rsid w:val="007E1ECF"/>
    <w:rsid w:val="007E73EA"/>
    <w:rsid w:val="007F05F7"/>
    <w:rsid w:val="008031E2"/>
    <w:rsid w:val="00816CD7"/>
    <w:rsid w:val="008276F4"/>
    <w:rsid w:val="00837BB3"/>
    <w:rsid w:val="0084779F"/>
    <w:rsid w:val="00872339"/>
    <w:rsid w:val="008D32A9"/>
    <w:rsid w:val="008F3D55"/>
    <w:rsid w:val="008F5670"/>
    <w:rsid w:val="00900A57"/>
    <w:rsid w:val="009242DE"/>
    <w:rsid w:val="009C7714"/>
    <w:rsid w:val="009E2EE7"/>
    <w:rsid w:val="00A4420D"/>
    <w:rsid w:val="00A465A6"/>
    <w:rsid w:val="00A7611B"/>
    <w:rsid w:val="00A76621"/>
    <w:rsid w:val="00AB6F23"/>
    <w:rsid w:val="00B43D50"/>
    <w:rsid w:val="00B63646"/>
    <w:rsid w:val="00B72B2D"/>
    <w:rsid w:val="00BA4F05"/>
    <w:rsid w:val="00BB1FEB"/>
    <w:rsid w:val="00BC39EA"/>
    <w:rsid w:val="00BE007B"/>
    <w:rsid w:val="00C05934"/>
    <w:rsid w:val="00C33686"/>
    <w:rsid w:val="00C37F39"/>
    <w:rsid w:val="00C51B9C"/>
    <w:rsid w:val="00C6286B"/>
    <w:rsid w:val="00CB3376"/>
    <w:rsid w:val="00CD486B"/>
    <w:rsid w:val="00D7207E"/>
    <w:rsid w:val="00D81764"/>
    <w:rsid w:val="00DA0F46"/>
    <w:rsid w:val="00DC0C88"/>
    <w:rsid w:val="00E16F50"/>
    <w:rsid w:val="00E44740"/>
    <w:rsid w:val="00EB49AA"/>
    <w:rsid w:val="00ED24F7"/>
    <w:rsid w:val="00ED63A9"/>
    <w:rsid w:val="00ED7579"/>
    <w:rsid w:val="00ED7942"/>
    <w:rsid w:val="00EF1E99"/>
    <w:rsid w:val="00EF2D60"/>
    <w:rsid w:val="00F0460B"/>
    <w:rsid w:val="00F0733B"/>
    <w:rsid w:val="00F413DD"/>
    <w:rsid w:val="00F57884"/>
    <w:rsid w:val="00F75F62"/>
    <w:rsid w:val="00F81EAB"/>
    <w:rsid w:val="00F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B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2D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D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D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7942"/>
    <w:rPr>
      <w:color w:val="0000FF" w:themeColor="hyperlink"/>
      <w:u w:val="single"/>
    </w:rPr>
  </w:style>
  <w:style w:type="paragraph" w:customStyle="1" w:styleId="Default">
    <w:name w:val="Default"/>
    <w:rsid w:val="00ED63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57"/>
  </w:style>
  <w:style w:type="paragraph" w:styleId="Footer">
    <w:name w:val="footer"/>
    <w:basedOn w:val="Normal"/>
    <w:link w:val="FooterChar"/>
    <w:uiPriority w:val="99"/>
    <w:unhideWhenUsed/>
    <w:rsid w:val="0090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B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2D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D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D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7942"/>
    <w:rPr>
      <w:color w:val="0000FF" w:themeColor="hyperlink"/>
      <w:u w:val="single"/>
    </w:rPr>
  </w:style>
  <w:style w:type="paragraph" w:customStyle="1" w:styleId="Default">
    <w:name w:val="Default"/>
    <w:rsid w:val="00ED63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57"/>
  </w:style>
  <w:style w:type="paragraph" w:styleId="Footer">
    <w:name w:val="footer"/>
    <w:basedOn w:val="Normal"/>
    <w:link w:val="FooterChar"/>
    <w:uiPriority w:val="99"/>
    <w:unhideWhenUsed/>
    <w:rsid w:val="0090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fc.org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acoecdmneguidelines.org/Hom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0891-6BB6-458E-8994-8EE259E3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18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Leppik</dc:creator>
  <cp:lastModifiedBy>Anton Leppik</cp:lastModifiedBy>
  <cp:revision>61</cp:revision>
  <cp:lastPrinted>2012-10-29T12:48:00Z</cp:lastPrinted>
  <dcterms:created xsi:type="dcterms:W3CDTF">2012-10-25T08:31:00Z</dcterms:created>
  <dcterms:modified xsi:type="dcterms:W3CDTF">2012-10-29T13:34:00Z</dcterms:modified>
</cp:coreProperties>
</file>